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media/image1.png" ContentType="image/png"/>
  <Override PartName="/word/media/image2.png" ContentType="image/png"/>
  <Override PartName="/word/media/image3.png" ContentType="image/png"/>
  <Override PartName="/word/media/image4.png" ContentType="image/png"/>
  <Override PartName="/word/header2.xml" ContentType="application/vnd.openxmlformats-officedocument.wordprocessingml.header+xml"/>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80"/>
        <w:jc w:val="center"/>
        <w:rPr>
          <w:rFonts w:ascii="Liberation Sans" w:hAnsi="Liberation Sans" w:eastAsia="Noto Sans CJK SC" w:cs="Times New Roman"/>
          <w:b/>
          <w:b/>
          <w:bCs/>
          <w:sz w:val="32"/>
          <w:szCs w:val="32"/>
        </w:rPr>
      </w:pPr>
      <w:r>
        <w:rPr>
          <w:rFonts w:eastAsia="Noto Sans CJK SC" w:cs="Times New Roman" w:ascii="Liberation Sans" w:hAnsi="Liberation Sans"/>
          <w:b/>
          <w:bCs/>
          <w:sz w:val="32"/>
          <w:szCs w:val="32"/>
        </w:rPr>
        <w:t xml:space="preserve">Rare variants in </w:t>
      </w:r>
      <w:r>
        <w:rPr>
          <w:rFonts w:eastAsia="Noto Sans CJK SC" w:cs="Times New Roman" w:ascii="Liberation Sans" w:hAnsi="Liberation Sans"/>
          <w:b/>
          <w:bCs/>
          <w:i/>
          <w:sz w:val="32"/>
          <w:szCs w:val="32"/>
        </w:rPr>
        <w:t>IFFO1</w:t>
      </w:r>
      <w:r>
        <w:rPr>
          <w:rFonts w:eastAsia="Noto Sans CJK SC" w:cs="Times New Roman" w:ascii="Liberation Sans" w:hAnsi="Liberation Sans"/>
          <w:b/>
          <w:bCs/>
          <w:sz w:val="32"/>
          <w:szCs w:val="32"/>
        </w:rPr>
        <w:t xml:space="preserve">, </w:t>
      </w:r>
      <w:r>
        <w:rPr>
          <w:rFonts w:eastAsia="Noto Sans CJK SC" w:cs="Times New Roman" w:ascii="Liberation Sans" w:hAnsi="Liberation Sans"/>
          <w:b/>
          <w:bCs/>
          <w:i/>
          <w:sz w:val="32"/>
          <w:szCs w:val="32"/>
        </w:rPr>
        <w:t>DTNB, NLRC3</w:t>
      </w:r>
      <w:r>
        <w:rPr>
          <w:rFonts w:eastAsia="Noto Sans CJK SC" w:cs="Times New Roman" w:ascii="Liberation Sans" w:hAnsi="Liberation Sans"/>
          <w:b/>
          <w:bCs/>
          <w:sz w:val="32"/>
          <w:szCs w:val="32"/>
        </w:rPr>
        <w:t xml:space="preserve"> and </w:t>
      </w:r>
      <w:r>
        <w:rPr>
          <w:rFonts w:eastAsia="Noto Sans CJK SC" w:cs="Times New Roman" w:ascii="Liberation Sans" w:hAnsi="Liberation Sans"/>
          <w:b/>
          <w:bCs/>
          <w:i/>
          <w:iCs/>
          <w:sz w:val="32"/>
          <w:szCs w:val="32"/>
        </w:rPr>
        <w:t>SLC22A10</w:t>
      </w:r>
      <w:r>
        <w:rPr>
          <w:rFonts w:eastAsia="Noto Sans CJK SC" w:cs="Times New Roman" w:ascii="Liberation Sans" w:hAnsi="Liberation Sans"/>
          <w:b/>
          <w:bCs/>
          <w:sz w:val="32"/>
          <w:szCs w:val="32"/>
        </w:rPr>
        <w:t xml:space="preserve"> associate with Alzheimer’s disease CSF profile of neuronal injury and inflammation</w:t>
      </w:r>
    </w:p>
    <w:p>
      <w:pPr>
        <w:pStyle w:val="Subtitle"/>
        <w:rPr/>
      </w:pPr>
      <w:r>
        <w:rPr/>
        <w:t>Supplementary Material</w:t>
      </w:r>
    </w:p>
    <w:p>
      <w:pPr>
        <w:pStyle w:val="Standard"/>
        <w:spacing w:lineRule="auto" w:line="480"/>
        <w:jc w:val="center"/>
        <w:rPr>
          <w:rFonts w:ascii="Liberation Sans" w:hAnsi="Liberation Sans" w:cs="Liberation Sans;Arial"/>
          <w:b/>
          <w:b/>
        </w:rPr>
      </w:pPr>
      <w:r>
        <w:rPr>
          <w:rFonts w:cs="Liberation Sans;Arial" w:ascii="Liberation Sans" w:hAnsi="Liberation Sans"/>
          <w:b/>
        </w:rPr>
      </w:r>
    </w:p>
    <w:p>
      <w:pPr>
        <w:pStyle w:val="Standard"/>
        <w:spacing w:lineRule="auto" w:line="480"/>
        <w:jc w:val="center"/>
        <w:rPr>
          <w:rFonts w:ascii="Liberation Sans" w:hAnsi="Liberation Sans" w:cs="Liberation Sans;Arial"/>
          <w:b/>
          <w:b/>
        </w:rPr>
      </w:pPr>
      <w:r>
        <w:rPr>
          <w:rFonts w:cs="Liberation Sans;Arial" w:ascii="Liberation Sans" w:hAnsi="Liberation Sans"/>
          <w:b/>
        </w:rPr>
        <w:t>AUTHORS</w:t>
      </w:r>
    </w:p>
    <w:p>
      <w:pPr>
        <w:pStyle w:val="Normal"/>
        <w:spacing w:lineRule="auto" w:line="480"/>
        <w:rPr>
          <w:rFonts w:ascii="Liberation Sans" w:hAnsi="Liberation Sans"/>
        </w:rPr>
      </w:pPr>
      <w:r>
        <w:rPr>
          <w:rFonts w:ascii="Liberation Sans" w:hAnsi="Liberation Sans"/>
        </w:rPr>
        <w:t>Alexander Neumann PhD, Fahri Küçükali Msc, Isabelle Bos PhD, Stephanie J.B. Vos PhD, Sebastiaan Engelborghs PhD, Tim De Pooter BSc, Geert Joris BSc, Peter De Rijk PhD, Ellen De Roeck PhD, Magda Tsolaki MD, PhD, Frans Verhey PhD, Pablo Martinez-Lage MD, Mikel Tainta MD, Giovanni Frisoni PhD, Oliver Blin MD, PhD, Jill Richardson PhD, Régis Bordet PhD, Philip Scheltens MD, Julius Popp MD, Gwendoline Peyratout PhD, Peter Johannsen MD, PhD, Lutz Frölich MD, PhD, Rik Vandenberghe PhD, Yvonne Freund-Levi PhD, Johannes Streffer MD, PhD, Simon Lovestone PhD, Cristina Legido-Quigley PhD, Mara ten Kate PhD, Frederik Barkhof MD, PhD, Mojca Strazisar PhD, Henrik Zetterberg MD, PhD, Lars Bertram MD, Pieter Jelle Visser MD, PhD, Christine van Broeckhoven PhD, Kristel Sleegers MD, PhD</w:t>
      </w:r>
    </w:p>
    <w:p>
      <w:pPr>
        <w:pStyle w:val="Normal"/>
        <w:spacing w:lineRule="auto" w:line="480"/>
        <w:jc w:val="center"/>
        <w:rPr>
          <w:rFonts w:ascii="Liberation Sans" w:hAnsi="Liberation Sans" w:cs="Times New Roman"/>
          <w:b/>
          <w:b/>
          <w:bCs/>
          <w:color w:val="222222"/>
        </w:rPr>
      </w:pPr>
      <w:r>
        <w:rPr>
          <w:rFonts w:cs="Times New Roman" w:ascii="Liberation Sans" w:hAnsi="Liberation Sans"/>
          <w:b/>
          <w:bCs/>
          <w:color w:val="222222"/>
        </w:rPr>
      </w:r>
      <w:r>
        <w:br w:type="page"/>
      </w:r>
    </w:p>
    <w:p>
      <w:pPr>
        <w:pStyle w:val="Normal"/>
        <w:spacing w:lineRule="auto" w:line="480"/>
        <w:jc w:val="center"/>
        <w:rPr>
          <w:rFonts w:ascii="Liberation Sans" w:hAnsi="Liberation Sans" w:cs="Times New Roman"/>
          <w:b/>
          <w:b/>
          <w:bCs/>
          <w:color w:val="222222"/>
        </w:rPr>
      </w:pPr>
      <w:r>
        <w:rPr>
          <w:rFonts w:cs="Times New Roman" w:ascii="Liberation Sans" w:hAnsi="Liberation Sans"/>
          <w:b/>
          <w:bCs/>
          <w:color w:val="222222"/>
        </w:rPr>
        <w:t>CORRESPONDING AUTHOR</w:t>
      </w:r>
    </w:p>
    <w:p>
      <w:pPr>
        <w:pStyle w:val="Normal"/>
        <w:spacing w:lineRule="auto" w:line="480"/>
        <w:rPr>
          <w:rFonts w:ascii="Liberation Sans" w:hAnsi="Liberation Sans"/>
        </w:rPr>
      </w:pPr>
      <w:r>
        <w:rPr>
          <w:rFonts w:ascii="Liberation Sans" w:hAnsi="Liberation Sans"/>
        </w:rPr>
        <w:t>Alexander Neumann</w:t>
      </w:r>
    </w:p>
    <w:p>
      <w:pPr>
        <w:pStyle w:val="Normal"/>
        <w:spacing w:lineRule="auto" w:line="480"/>
        <w:rPr>
          <w:rFonts w:ascii="Liberation Sans" w:hAnsi="Liberation Sans"/>
        </w:rPr>
      </w:pPr>
      <w:r>
        <w:rPr>
          <w:rFonts w:ascii="Liberation Sans" w:hAnsi="Liberation Sans"/>
        </w:rPr>
        <w:t>VIB Center for Molecular Neurology</w:t>
      </w:r>
    </w:p>
    <w:p>
      <w:pPr>
        <w:pStyle w:val="Normal"/>
        <w:spacing w:lineRule="auto" w:line="480"/>
        <w:rPr>
          <w:rFonts w:ascii="Liberation Sans" w:hAnsi="Liberation Sans"/>
          <w:lang w:val="de-DE"/>
        </w:rPr>
      </w:pPr>
      <w:r>
        <w:rPr>
          <w:rFonts w:ascii="Liberation Sans" w:hAnsi="Liberation Sans"/>
          <w:lang w:val="de-DE"/>
        </w:rPr>
        <w:t>Universiteitsplein 1</w:t>
      </w:r>
    </w:p>
    <w:p>
      <w:pPr>
        <w:pStyle w:val="Normal"/>
        <w:spacing w:lineRule="auto" w:line="480"/>
        <w:rPr>
          <w:rFonts w:ascii="Liberation Sans" w:hAnsi="Liberation Sans"/>
          <w:lang w:val="de-DE"/>
        </w:rPr>
      </w:pPr>
      <w:r>
        <w:rPr>
          <w:rFonts w:ascii="Liberation Sans" w:hAnsi="Liberation Sans"/>
          <w:lang w:val="de-DE"/>
        </w:rPr>
        <w:t>B-2610 Antwerp</w:t>
      </w:r>
    </w:p>
    <w:p>
      <w:pPr>
        <w:pStyle w:val="Normal"/>
        <w:spacing w:lineRule="auto" w:line="480"/>
        <w:rPr>
          <w:rFonts w:ascii="Liberation Sans" w:hAnsi="Liberation Sans"/>
          <w:lang w:val="de-DE"/>
        </w:rPr>
      </w:pPr>
      <w:r>
        <w:rPr>
          <w:rFonts w:ascii="Liberation Sans" w:hAnsi="Liberation Sans"/>
          <w:lang w:val="de-DE"/>
        </w:rPr>
        <w:t>Belgium</w:t>
      </w:r>
    </w:p>
    <w:p>
      <w:pPr>
        <w:pStyle w:val="Normal"/>
        <w:spacing w:lineRule="auto" w:line="480"/>
        <w:rPr>
          <w:rFonts w:ascii="Liberation Sans" w:hAnsi="Liberation Sans"/>
        </w:rPr>
      </w:pPr>
      <w:r>
        <w:rPr>
          <w:rFonts w:ascii="Liberation Sans" w:hAnsi="Liberation Sans"/>
        </w:rPr>
        <w:t xml:space="preserve">Email: </w:t>
      </w:r>
      <w:hyperlink r:id="rId2">
        <w:r>
          <w:rPr>
            <w:rStyle w:val="InternetLink"/>
            <w:rFonts w:ascii="Liberation Sans" w:hAnsi="Liberation Sans"/>
          </w:rPr>
          <w:t>alexander.neumann@uantwerpen.vib.be</w:t>
        </w:r>
      </w:hyperlink>
    </w:p>
    <w:p>
      <w:pPr>
        <w:pStyle w:val="Normal"/>
        <w:spacing w:lineRule="auto" w:line="480"/>
        <w:rPr>
          <w:rFonts w:ascii="Liberation Sans" w:hAnsi="Liberation Sans" w:cs="Times New Roman"/>
          <w:color w:val="222222"/>
        </w:rPr>
      </w:pPr>
      <w:r>
        <w:rPr>
          <w:rFonts w:cs="Times New Roman" w:ascii="Liberation Sans" w:hAnsi="Liberation Sans"/>
          <w:color w:val="222222"/>
        </w:rPr>
        <w:t>Tel: +32 3 265 9830</w:t>
      </w:r>
      <w:r>
        <w:br w:type="page"/>
      </w:r>
    </w:p>
    <w:p>
      <w:pPr>
        <w:pStyle w:val="Heading1"/>
        <w:numPr>
          <w:ilvl w:val="0"/>
          <w:numId w:val="0"/>
        </w:numPr>
        <w:ind w:left="0" w:hanging="0"/>
        <w:rPr/>
      </w:pPr>
      <w:r>
        <w:rPr/>
        <w:t>Supplementary Methods</w:t>
      </w:r>
    </w:p>
    <w:p>
      <w:pPr>
        <w:pStyle w:val="Heading2"/>
        <w:rPr/>
      </w:pPr>
      <w:r>
        <w:rPr/>
        <w:t>Participant Selection</w:t>
      </w:r>
    </w:p>
    <w:p>
      <w:pPr>
        <w:pStyle w:val="Normal"/>
        <w:spacing w:lineRule="auto" w:line="480"/>
        <w:rPr/>
      </w:pPr>
      <w:r>
        <w:rPr>
          <w:rFonts w:ascii="Liberation Sans" w:hAnsi="Liberation Sans"/>
        </w:rPr>
        <w:t xml:space="preserve">In total 450 participants were genotyped in the EMIF study using exome-wide sequencing and 808 in the ADNI study using whole-exome sequencing. Participant selection was based on availability and quality of DNA samples, sample volume (100ng/μl in 25μl), no known inconsistencies, and secondary QC for WES library prep. We excluded participants with known pathogenic mutations: five individuals in EMIF had mutations in </w:t>
      </w:r>
      <w:r>
        <w:rPr>
          <w:rFonts w:ascii="Liberation Sans" w:hAnsi="Liberation Sans"/>
          <w:i/>
          <w:iCs/>
        </w:rPr>
        <w:t>PSEN1</w:t>
      </w:r>
      <w:r>
        <w:rPr>
          <w:rFonts w:ascii="Liberation Sans" w:hAnsi="Liberation Sans"/>
        </w:rPr>
        <w:t xml:space="preserve">, </w:t>
      </w:r>
      <w:r>
        <w:rPr>
          <w:rFonts w:ascii="Liberation Sans" w:hAnsi="Liberation Sans"/>
          <w:i/>
          <w:iCs/>
        </w:rPr>
        <w:t>APP</w:t>
      </w:r>
      <w:r>
        <w:rPr>
          <w:rFonts w:ascii="Liberation Sans" w:hAnsi="Liberation Sans"/>
        </w:rPr>
        <w:t xml:space="preserve"> and </w:t>
      </w:r>
      <w:r>
        <w:rPr>
          <w:rFonts w:ascii="Liberation Sans" w:hAnsi="Liberation Sans"/>
          <w:i/>
          <w:iCs/>
        </w:rPr>
        <w:t>GRN</w:t>
      </w:r>
      <w:r>
        <w:rPr>
          <w:rFonts w:ascii="Liberation Sans" w:hAnsi="Liberation Sans"/>
        </w:rPr>
        <w:t xml:space="preserve">, and three individuals in ADNI had mutations in </w:t>
      </w:r>
      <w:r>
        <w:rPr>
          <w:rFonts w:ascii="Liberation Sans" w:hAnsi="Liberation Sans"/>
          <w:i/>
          <w:iCs/>
        </w:rPr>
        <w:t>PSEN1</w:t>
      </w:r>
      <w:r>
        <w:rPr>
          <w:rFonts w:ascii="Liberation Sans" w:hAnsi="Liberation Sans"/>
        </w:rPr>
        <w:t xml:space="preserve"> and </w:t>
      </w:r>
      <w:r>
        <w:rPr>
          <w:rFonts w:ascii="Liberation Sans" w:hAnsi="Liberation Sans"/>
          <w:i/>
          <w:iCs/>
        </w:rPr>
        <w:t>MAPT</w:t>
      </w:r>
      <w:r>
        <w:rPr>
          <w:rFonts w:ascii="Liberation Sans" w:hAnsi="Liberation Sans"/>
        </w:rPr>
        <w:t xml:space="preserve">. Furthermore, we excluded one family member per related participant (defined as PI-HAT &gt; 0.4 in IBD analysis), to avoid confounding by shared environment. Participants with more complete information were prioritized or, in case of equal data completeness, randomly selected. In EMIF three participants and in ADNI five participants were removed due to relatedness with another member in the sample. </w:t>
      </w:r>
    </w:p>
    <w:p>
      <w:pPr>
        <w:pStyle w:val="Normal"/>
        <w:spacing w:lineRule="auto" w:line="480"/>
        <w:rPr>
          <w:rFonts w:ascii="Liberation Sans" w:hAnsi="Liberation Sans"/>
        </w:rPr>
      </w:pPr>
      <w:r>
        <w:rPr>
          <w:rFonts w:ascii="Liberation Sans" w:hAnsi="Liberation Sans"/>
        </w:rPr>
        <w:tab/>
        <w:t>For the main analysis we selected participants, who were assessed with exome-wide sequencing, had no known pathogenic mutations, were unrelated and had information on at most one CSF biomarker missing. The main analysis sample for EMIF was 353 and for ADNI 127, resulting in a total sample size of 480 participants. Two EMIF participants had missing mini-mental state examination (MMSE) information, leading to a slightly reduced sample size for the mediation analysis (n=478). For lookup of MMSE associations, which require only MMSE and no biomarker information, the sample size was larger with EMIF contributing 440 participants and ADNI 800, resulting in a total sample size of 1240 participants. Six participants had non-European ancestry and were excluded in sensitivity analyses to test the robustness of the results to population stratification.</w:t>
      </w:r>
    </w:p>
    <w:p>
      <w:pPr>
        <w:pStyle w:val="Heading2"/>
        <w:rPr/>
      </w:pPr>
      <w:r>
        <w:rPr/>
        <w:t>Genotyping</w:t>
      </w:r>
    </w:p>
    <w:p>
      <w:pPr>
        <w:pStyle w:val="TextBody"/>
        <w:spacing w:lineRule="auto" w:line="480"/>
        <w:rPr/>
      </w:pPr>
      <w:r>
        <w:rPr>
          <w:rFonts w:cs="Times New Roman" w:ascii="Liberation Sans" w:hAnsi="Liberation Sans"/>
        </w:rPr>
        <w:tab/>
        <w:t>Whole exome-sequencing in EMIF was performed by the Neuromics Support Facility (NSF) at the VIB-UAntwerp Center for Molecular Neurology, Antwerp, Belgium, on Illumina NextSeq500 platform using paired-end reads on DNA samples hybridized with SeqCap EZ Human Exome Kit v3.0 (Roche). Per run, a maximum of 12 samples were run, resulting in an average of 91 million reads per sample. On average 93.85% of targeted sites minimum 20X coverage per sample and on average 30-40X. In ADNI whole exome-sequencing was performed using the Illumina HiSeq2000 platform, see previous publications for details.[1] The same quality control pipeline was then applied to both studies.</w:t>
      </w:r>
    </w:p>
    <w:p>
      <w:pPr>
        <w:pStyle w:val="TextBody"/>
        <w:spacing w:lineRule="auto" w:line="480"/>
        <w:rPr/>
      </w:pPr>
      <w:r>
        <w:rPr>
          <w:rFonts w:cs="Times New Roman" w:ascii="Liberation Sans" w:hAnsi="Liberation Sans"/>
        </w:rPr>
        <w:tab/>
        <w:t>After demultiplexing and trimming adaptors with fastq-mcf 1.1.2-537,[2] read quality was assessed with FastQC 0.11.5 and aligned to the hg19 human reference genome with the Burrows-Wheeler Aligner 0.7.15.[3] Samtools was used for duplicate removal.[4] Gender checks were performed with GenomeComb.[5] and variant calling with the Genome Analysis Toolkit 4.0.3.[6] Specifically we applied GATK HaplotypeCaller, GenomicsDBImport and GenotypeGVCFs to create a raw .vcf file,[7] then the Variant Quality Score Recalibration tool was used to filter SNPs not in the 99.5% (EMIF) or 99.7% (ADNI) and indels not in the 99% (EMIF) or 99.7% (ADNI) sensitivity tranche. Multi-allelic variants were represented in different rows, and indels were left-aligned and normalized using bcftools norm. Annotation was performed with bcftools using dbSNP Build 151. Genotypes with a genotype quality&lt;20, depth&lt;8, allele depth&gt;1:3 (heterozygous variants) or 1:9 (homozgous variants) were excluded with the help of VCFtools 0.1.16 and vcffilterjdk.[8] Furthermore, variants with deviation of Hardy-Weinberg Equilibrium (p&lt;10</w:t>
      </w:r>
      <w:r>
        <w:rPr>
          <w:rFonts w:cs="Times New Roman" w:ascii="Liberation Sans" w:hAnsi="Liberation Sans"/>
          <w:vertAlign w:val="superscript"/>
        </w:rPr>
        <w:t>-7</w:t>
      </w:r>
      <w:r>
        <w:rPr>
          <w:rFonts w:cs="Times New Roman" w:ascii="Liberation Sans" w:hAnsi="Liberation Sans"/>
        </w:rPr>
        <w:t>), genotype quality&lt;35 or call rate&lt;80% were also removed.[9] Annotations were performed with SnpEff[10], ANNOVAR[11] and CADD 1.4[12]. None of the remaining samples had a call rate below 95%. X-chromosome heterozygosity rates were within expected ranges given the reported sex. Genetic</w:t>
      </w:r>
      <w:bookmarkStart w:id="0" w:name="MendeleyTempCursorBookmark1"/>
      <w:bookmarkEnd w:id="0"/>
      <w:r>
        <w:rPr>
          <w:rFonts w:cs="Times New Roman" w:ascii="Liberation Sans" w:hAnsi="Liberation Sans"/>
        </w:rPr>
        <w:t xml:space="preserve"> ancestry and relatedness was assessed using high-quality LD-pruned common variants (PLINK argument “--indep-pairwise 50 5 0.5”, MAF &gt; 1%, call rate &gt; 98%). Genetic ancestry was estimated using Somalier[13] and the super populations from the 1000 Genomes reference[14], with participants having less than 80% European ancestry proportion classified as having non-European ancestry. Furhtermore, principal components were estimated and used as covariates in the analysis.</w:t>
      </w:r>
    </w:p>
    <w:p>
      <w:pPr>
        <w:pStyle w:val="TextBody"/>
        <w:spacing w:lineRule="auto" w:line="480"/>
        <w:rPr/>
      </w:pPr>
      <w:r>
        <w:rPr>
          <w:rFonts w:cs="Times New Roman" w:ascii="Liberation Sans" w:hAnsi="Liberation Sans"/>
        </w:rPr>
        <w:tab/>
        <w:t>Post-analysis, we retained only genes with at least two rare variant carriers in each study to reduce Type-1 error. Furthermore, we excluded the USP30 gene due to convergence problems resulting in extremely low p-values (p&lt;10</w:t>
      </w:r>
      <w:r>
        <w:rPr>
          <w:rFonts w:cs="Times New Roman" w:ascii="Liberation Sans" w:hAnsi="Liberation Sans"/>
          <w:vertAlign w:val="superscript"/>
        </w:rPr>
        <w:t>-100</w:t>
      </w:r>
      <w:r>
        <w:rPr>
          <w:rFonts w:cs="Times New Roman" w:ascii="Liberation Sans" w:hAnsi="Liberation Sans"/>
        </w:rPr>
        <w:t>) for all outcomes.</w:t>
      </w:r>
    </w:p>
    <w:p>
      <w:pPr>
        <w:pStyle w:val="Heading2"/>
        <w:rPr/>
      </w:pPr>
      <w:r>
        <w:rPr/>
        <w:t>Statistical analysis</w:t>
      </w:r>
    </w:p>
    <w:p>
      <w:pPr>
        <w:pStyle w:val="Normal"/>
        <w:spacing w:lineRule="auto" w:line="480"/>
        <w:rPr/>
      </w:pPr>
      <w:r>
        <w:rPr>
          <w:rFonts w:cs="Times New Roman" w:ascii="Liberation Sans" w:hAnsi="Liberation Sans"/>
        </w:rPr>
        <w:tab/>
        <w:t>For single variant analyses, we used a multiple imputation approach with MICE (40 imputations, 20 iterations) to impute missing genotype data, as opposed to the default mean genotype imputation in MetaSKAT tests.[15]</w:t>
      </w:r>
    </w:p>
    <w:p>
      <w:pPr>
        <w:pStyle w:val="Normal"/>
        <w:spacing w:lineRule="auto" w:line="480"/>
        <w:rPr/>
      </w:pPr>
      <w:r>
        <w:rPr/>
      </w:r>
      <w:r>
        <w:br w:type="page"/>
      </w:r>
    </w:p>
    <w:p>
      <w:pPr>
        <w:pStyle w:val="Heading1"/>
        <w:rPr/>
      </w:pPr>
      <w:r>
        <w:rPr/>
        <w:t>References</w:t>
      </w:r>
    </w:p>
    <w:p>
      <w:pPr>
        <w:pStyle w:val="TextBody"/>
        <w:rPr/>
      </w:pPr>
      <w:r>
        <w:rPr/>
        <w:t xml:space="preserve">  </w:t>
      </w:r>
    </w:p>
    <w:p>
      <w:pPr>
        <w:sectPr>
          <w:headerReference w:type="default" r:id="rId3"/>
          <w:footerReference w:type="default" r:id="rId4"/>
          <w:type w:val="nextPage"/>
          <w:pgSz w:w="11906" w:h="16838"/>
          <w:pgMar w:left="1134" w:right="1134" w:gutter="0" w:header="1134" w:top="1693" w:footer="1134" w:bottom="1693"/>
          <w:pgNumType w:fmt="decimal"/>
          <w:formProt w:val="false"/>
          <w:textDirection w:val="lrTb"/>
          <w:docGrid w:type="default" w:linePitch="312" w:charSpace="0"/>
        </w:sectPr>
      </w:pPr>
    </w:p>
    <w:p>
      <w:pPr>
        <w:pStyle w:val="Normal"/>
        <w:spacing w:lineRule="auto" w:line="288" w:before="0" w:after="140"/>
        <w:ind w:left="640" w:hanging="640"/>
        <w:rPr>
          <w:rFonts w:ascii="Liberation Sans" w:hAnsi="Liberation Sans"/>
        </w:rPr>
      </w:pPr>
      <w:r>
        <w:rPr>
          <w:rFonts w:ascii="Liberation Sans" w:hAnsi="Liberation Sans"/>
        </w:rPr>
        <w:t xml:space="preserve">1. </w:t>
        <w:tab/>
        <w:t>Nho K, Corneveaux JJ, Kim S, Lin H, Risacher SL, Shen L, et al. Whole-exome sequencing and imaging genetics identify functional variants for rate of change in hippocampal volume in mild cognitive impairment. Mol Psychiatry. 2013;18:781–787.</w:t>
      </w:r>
    </w:p>
    <w:p>
      <w:pPr>
        <w:pStyle w:val="Normal"/>
        <w:spacing w:lineRule="auto" w:line="288" w:before="0" w:after="140"/>
        <w:ind w:left="640" w:hanging="640"/>
        <w:rPr>
          <w:rFonts w:ascii="Liberation Sans" w:hAnsi="Liberation Sans"/>
        </w:rPr>
      </w:pPr>
      <w:r>
        <w:rPr>
          <w:rFonts w:ascii="Liberation Sans" w:hAnsi="Liberation Sans"/>
        </w:rPr>
        <w:t xml:space="preserve">2. </w:t>
        <w:tab/>
        <w:t>Aronesty E. ea-utils: Command-line tools for processing biological sequencing data. 2011.</w:t>
      </w:r>
    </w:p>
    <w:p>
      <w:pPr>
        <w:pStyle w:val="Normal"/>
        <w:spacing w:lineRule="auto" w:line="288" w:before="0" w:after="140"/>
        <w:ind w:left="640" w:hanging="640"/>
        <w:rPr>
          <w:rFonts w:ascii="Liberation Sans" w:hAnsi="Liberation Sans"/>
        </w:rPr>
      </w:pPr>
      <w:r>
        <w:rPr>
          <w:rFonts w:ascii="Liberation Sans" w:hAnsi="Liberation Sans"/>
        </w:rPr>
        <w:t xml:space="preserve">3. </w:t>
        <w:tab/>
        <w:t>Li H, Durbin R. Fast and accurate long-read alignment with Burrows-Wheeler transform. Bioinformatics. 2010;26:589–595.</w:t>
      </w:r>
    </w:p>
    <w:p>
      <w:pPr>
        <w:pStyle w:val="Normal"/>
        <w:spacing w:lineRule="auto" w:line="288" w:before="0" w:after="140"/>
        <w:ind w:left="640" w:hanging="640"/>
        <w:rPr>
          <w:rFonts w:ascii="Liberation Sans" w:hAnsi="Liberation Sans"/>
        </w:rPr>
      </w:pPr>
      <w:r>
        <w:rPr>
          <w:rFonts w:ascii="Liberation Sans" w:hAnsi="Liberation Sans"/>
        </w:rPr>
        <w:t xml:space="preserve">4. </w:t>
        <w:tab/>
        <w:t>Li H, Handsaker B, Wysoker A, Fennell T, Ruan J, Homer N, et al. The Sequence Alignment/Map format and SAMtools. Bioinformatics. 2009;25:2078–2079.</w:t>
      </w:r>
    </w:p>
    <w:p>
      <w:pPr>
        <w:pStyle w:val="Normal"/>
        <w:spacing w:lineRule="auto" w:line="288" w:before="0" w:after="140"/>
        <w:ind w:left="640" w:hanging="640"/>
        <w:rPr>
          <w:rFonts w:ascii="Liberation Sans" w:hAnsi="Liberation Sans"/>
        </w:rPr>
      </w:pPr>
      <w:r>
        <w:rPr>
          <w:rFonts w:ascii="Liberation Sans" w:hAnsi="Liberation Sans"/>
        </w:rPr>
        <w:t xml:space="preserve">5. </w:t>
        <w:tab/>
        <w:t>Reumers J, De Rijk P, Zhao H, Liekens A, Smeets D, Cleary J, et al. Optimized filtering reduces the error rate in detecting genomic variants by short-read sequencing. Nat Biotechnol. 2012;30:61–68.</w:t>
      </w:r>
    </w:p>
    <w:p>
      <w:pPr>
        <w:pStyle w:val="Normal"/>
        <w:spacing w:lineRule="auto" w:line="288" w:before="0" w:after="140"/>
        <w:ind w:left="640" w:hanging="640"/>
        <w:rPr>
          <w:rFonts w:ascii="Liberation Sans" w:hAnsi="Liberation Sans"/>
        </w:rPr>
      </w:pPr>
      <w:r>
        <w:rPr>
          <w:rFonts w:ascii="Liberation Sans" w:hAnsi="Liberation Sans"/>
        </w:rPr>
        <w:t xml:space="preserve">6. </w:t>
        <w:tab/>
        <w:t>McKenna, Aaron, Matthew Hanna, Eric Banks, Andrey Sivachenko, Kristian Cibulskis, Andrew Kernytsky, Kiran Garimella, David Altshuler, Stacey Gabriel MD, DePristo  and MA, McKenna A, Hanna M, Banks E, Sivachenko A, et al. The Genome Analysis Toolkit: A MapReduce framework for analyzing next-generation DNA sequencing data. Genome Res. 2010:1297–1303.</w:t>
      </w:r>
    </w:p>
    <w:p>
      <w:pPr>
        <w:pStyle w:val="Normal"/>
        <w:spacing w:lineRule="auto" w:line="288" w:before="0" w:after="140"/>
        <w:ind w:left="640" w:hanging="640"/>
        <w:rPr>
          <w:rFonts w:ascii="Liberation Sans" w:hAnsi="Liberation Sans"/>
        </w:rPr>
      </w:pPr>
      <w:r>
        <w:rPr>
          <w:rFonts w:ascii="Liberation Sans" w:hAnsi="Liberation Sans"/>
        </w:rPr>
        <w:t xml:space="preserve">7. </w:t>
        <w:tab/>
        <w:t>Danecek P, Auton A, Abecasis G, Albers CA, Banks E, DePristo MA, et al. The variant call format and VCFtools. Bioinformatics. 2011;27:2156–2158.</w:t>
      </w:r>
    </w:p>
    <w:p>
      <w:pPr>
        <w:pStyle w:val="Normal"/>
        <w:spacing w:lineRule="auto" w:line="288" w:before="0" w:after="140"/>
        <w:ind w:left="640" w:hanging="640"/>
        <w:rPr>
          <w:rFonts w:ascii="Liberation Sans" w:hAnsi="Liberation Sans"/>
        </w:rPr>
      </w:pPr>
      <w:r>
        <w:rPr>
          <w:rFonts w:ascii="Liberation Sans" w:hAnsi="Liberation Sans"/>
        </w:rPr>
        <w:t xml:space="preserve">8. </w:t>
        <w:tab/>
        <w:t>Lindenbaum P, Redon R. Bioalcidae, samjs and vcffilterjs: Object-oriented formatters and filters for bioinformatics files. Bioinformatics. 2018;34:1224–1225.</w:t>
      </w:r>
    </w:p>
    <w:p>
      <w:pPr>
        <w:pStyle w:val="Normal"/>
        <w:spacing w:lineRule="auto" w:line="288" w:before="0" w:after="140"/>
        <w:ind w:left="640" w:hanging="640"/>
        <w:rPr>
          <w:rFonts w:ascii="Liberation Sans" w:hAnsi="Liberation Sans"/>
        </w:rPr>
      </w:pPr>
      <w:r>
        <w:rPr>
          <w:rFonts w:ascii="Liberation Sans" w:hAnsi="Liberation Sans"/>
        </w:rPr>
        <w:t xml:space="preserve">9. </w:t>
        <w:tab/>
        <w:t>Carson AR, Smith EN, Matsui H, Brækkan SK, Jepsen K, Hansen JB, et al. Effective filtering strategies to improve data quality from population-based whole exome sequencing studies. BMC Nephrol. 2014;15:1–15.</w:t>
      </w:r>
    </w:p>
    <w:p>
      <w:pPr>
        <w:pStyle w:val="Normal"/>
        <w:spacing w:lineRule="auto" w:line="288" w:before="0" w:after="140"/>
        <w:ind w:left="640" w:hanging="640"/>
        <w:rPr>
          <w:rFonts w:ascii="Liberation Sans" w:hAnsi="Liberation Sans"/>
        </w:rPr>
      </w:pPr>
      <w:r>
        <w:rPr>
          <w:rFonts w:ascii="Liberation Sans" w:hAnsi="Liberation Sans"/>
        </w:rPr>
        <w:t xml:space="preserve">10. </w:t>
        <w:tab/>
        <w:t>Cingolani P, Platts A, Wang LL, Coon M, Nguyen T, Wang L, et al. A program for annotating and predicting the effects of single nucleotide polymorphisms, SnpEff: SNPs in the genome of Drosophila melanogaster strain w1118; iso-2; iso-3. Fly (Austin). 2012;6:80–92.</w:t>
      </w:r>
    </w:p>
    <w:p>
      <w:pPr>
        <w:pStyle w:val="Normal"/>
        <w:spacing w:lineRule="auto" w:line="288" w:before="0" w:after="140"/>
        <w:ind w:left="640" w:hanging="640"/>
        <w:rPr>
          <w:rFonts w:ascii="Liberation Sans" w:hAnsi="Liberation Sans"/>
        </w:rPr>
      </w:pPr>
      <w:r>
        <w:rPr>
          <w:rFonts w:ascii="Liberation Sans" w:hAnsi="Liberation Sans"/>
        </w:rPr>
        <w:t xml:space="preserve">11. </w:t>
        <w:tab/>
        <w:t>Wang K, Li M, Hakonarson H. ANNOVAR: Functional annotation of genetic variants from high-throughput sequencing data. Nucleic Acids Res. 2010;38:1–7.</w:t>
      </w:r>
    </w:p>
    <w:p>
      <w:pPr>
        <w:pStyle w:val="Normal"/>
        <w:spacing w:lineRule="auto" w:line="288" w:before="0" w:after="140"/>
        <w:ind w:left="640" w:hanging="640"/>
        <w:rPr>
          <w:rFonts w:ascii="Liberation Sans" w:hAnsi="Liberation Sans"/>
        </w:rPr>
      </w:pPr>
      <w:r>
        <w:rPr>
          <w:rFonts w:ascii="Liberation Sans" w:hAnsi="Liberation Sans"/>
        </w:rPr>
        <w:t xml:space="preserve">12. </w:t>
        <w:tab/>
        <w:t>Rentzsch P, Witten D, Cooper GM, Shendure J, Kircher M. CADD: Predicting the deleteriousness of variants throughout the human genome. Nucleic Acids Res. 2019;47:D886–D894.</w:t>
      </w:r>
    </w:p>
    <w:p>
      <w:pPr>
        <w:pStyle w:val="Normal"/>
        <w:spacing w:lineRule="auto" w:line="288" w:before="0" w:after="140"/>
        <w:ind w:left="640" w:hanging="640"/>
        <w:rPr>
          <w:rFonts w:ascii="Liberation Sans" w:hAnsi="Liberation Sans"/>
        </w:rPr>
      </w:pPr>
      <w:r>
        <w:rPr>
          <w:rFonts w:ascii="Liberation Sans" w:hAnsi="Liberation Sans"/>
        </w:rPr>
        <w:t xml:space="preserve">13. </w:t>
        <w:tab/>
        <w:t>Pedersen BS, Bhetariya PJ, Brown J, Kravitz SN, Marth G, Jensen RL, et al. Somalier: Rapid relatedness estimation for cancer and germline studies using efficient genome sketches. Genome Med. 2020;12:62.</w:t>
      </w:r>
    </w:p>
    <w:p>
      <w:pPr>
        <w:pStyle w:val="Normal"/>
        <w:spacing w:lineRule="auto" w:line="288" w:before="0" w:after="140"/>
        <w:ind w:left="640" w:hanging="640"/>
        <w:rPr>
          <w:rFonts w:ascii="Liberation Sans" w:hAnsi="Liberation Sans"/>
        </w:rPr>
      </w:pPr>
      <w:r>
        <w:rPr>
          <w:rFonts w:ascii="Liberation Sans" w:hAnsi="Liberation Sans"/>
        </w:rPr>
        <w:t xml:space="preserve">14. </w:t>
        <w:tab/>
        <w:t>The 1000 Genomes Project Consortium. A global reference for human genetic variation. Nature. 2015;526:68–74.</w:t>
      </w:r>
    </w:p>
    <w:p>
      <w:pPr>
        <w:pStyle w:val="Normal"/>
        <w:spacing w:lineRule="auto" w:line="288" w:before="0" w:after="140"/>
        <w:ind w:left="640" w:hanging="640"/>
        <w:rPr>
          <w:rFonts w:ascii="Liberation Sans" w:hAnsi="Liberation Sans"/>
        </w:rPr>
      </w:pPr>
      <w:r>
        <w:rPr>
          <w:rFonts w:ascii="Liberation Sans" w:hAnsi="Liberation Sans"/>
        </w:rPr>
        <w:t xml:space="preserve">15. </w:t>
        <w:tab/>
        <w:t>Buuren S, Groothuis-Oudshoorn K. MICE: Multivariate imputation by chained equations in R. J Stat Softw. 2011. 2011.</w:t>
      </w:r>
    </w:p>
    <w:p>
      <w:pPr>
        <w:sectPr>
          <w:type w:val="continuous"/>
          <w:pgSz w:w="11906" w:h="16838"/>
          <w:pgMar w:left="1134" w:right="1134" w:gutter="0" w:header="1134" w:top="1693" w:footer="1134" w:bottom="1693"/>
          <w:formProt w:val="false"/>
          <w:textDirection w:val="lrTb"/>
          <w:docGrid w:type="default" w:linePitch="312" w:charSpace="0"/>
        </w:sectPr>
      </w:pPr>
    </w:p>
    <w:p>
      <w:pPr>
        <w:sectPr>
          <w:type w:val="continuous"/>
          <w:pgSz w:w="11906" w:h="16838"/>
          <w:pgMar w:left="1134" w:right="1134" w:gutter="0" w:header="1134" w:top="1693" w:footer="1134" w:bottom="1693"/>
          <w:formProt w:val="false"/>
          <w:textDirection w:val="lrTb"/>
          <w:docGrid w:type="default" w:linePitch="312" w:charSpace="0"/>
        </w:sectPr>
        <w:pStyle w:val="TextBody"/>
        <w:rPr/>
      </w:pPr>
      <w:r>
        <w:rPr/>
        <w:t xml:space="preserve"> </w:t>
      </w:r>
      <w:r>
        <w:br w:type="page"/>
      </w:r>
    </w:p>
    <w:p>
      <w:pPr>
        <w:pStyle w:val="Heading1"/>
        <w:rPr/>
      </w:pPr>
      <w:r>
        <w:rPr/>
        <w:t>Supplementary Results</w:t>
      </w:r>
    </w:p>
    <w:p>
      <w:pPr>
        <w:pStyle w:val="Heading2"/>
        <w:rPr/>
      </w:pPr>
      <w:r>
        <w:rPr/>
        <w:t>Sensitivity analyses and single-cohort results</w:t>
      </w:r>
    </w:p>
    <w:p>
      <w:pPr>
        <w:pStyle w:val="TextBody"/>
        <w:spacing w:lineRule="auto" w:line="480"/>
        <w:rPr/>
      </w:pPr>
      <w:r>
        <w:rPr>
          <w:rFonts w:eastAsia="Noto Sans CJK SC" w:ascii="Liberation Sans" w:hAnsi="Liberation Sans"/>
        </w:rPr>
        <w:tab/>
        <w:t>When restricting the analysis sample to participants with European ancestry, results stayed mostly consistent (Supplementary Table S</w:t>
      </w:r>
      <w:r>
        <w:rPr>
          <w:rFonts w:eastAsia="Noto Sans CJK SC" w:ascii="Liberation Sans" w:hAnsi="Liberation Sans"/>
        </w:rPr>
        <w:t>4</w:t>
      </w:r>
      <w:r>
        <w:rPr>
          <w:rFonts w:eastAsia="Noto Sans CJK SC" w:ascii="Liberation Sans" w:hAnsi="Liberation Sans"/>
        </w:rPr>
        <w:t xml:space="preserve">). One additional gene was exome-wide significant in LoF prioritized models, when restricting to European ancestry: </w:t>
      </w:r>
      <w:r>
        <w:rPr>
          <w:rFonts w:eastAsia="Noto Sans CJK SC" w:ascii="Liberation Sans" w:hAnsi="Liberation Sans"/>
          <w:i/>
          <w:iCs/>
        </w:rPr>
        <w:t>CLCNKB</w:t>
      </w:r>
      <w:r>
        <w:rPr>
          <w:rFonts w:eastAsia="Noto Sans CJK SC" w:ascii="Liberation Sans" w:hAnsi="Liberation Sans"/>
        </w:rPr>
        <w:t xml:space="preserve"> was significantly associated with non-AD inflammation (p=2.2E</w:t>
      </w:r>
      <w:r>
        <w:rPr>
          <w:rFonts w:eastAsia="Noto Sans CJK SC" w:ascii="Liberation Sans" w:hAnsi="Liberation Sans"/>
          <w:vertAlign w:val="superscript"/>
        </w:rPr>
        <w:t>-04</w:t>
      </w:r>
      <w:r>
        <w:rPr>
          <w:rFonts w:eastAsia="Noto Sans CJK SC" w:ascii="Liberation Sans" w:hAnsi="Liberation Sans"/>
        </w:rPr>
        <w:t>), but only when not adjusting for diagnosis. Due to inconsistent associations across models and samples, we do not discuss this finding further.</w:t>
      </w:r>
    </w:p>
    <w:p>
      <w:pPr>
        <w:pStyle w:val="TextBody"/>
        <w:spacing w:lineRule="auto" w:line="480"/>
        <w:rPr/>
      </w:pPr>
      <w:r>
        <w:rPr>
          <w:rFonts w:eastAsia="Noto Sans CJK SC" w:ascii="Liberation Sans" w:hAnsi="Liberation Sans"/>
        </w:rPr>
        <w:tab/>
        <w:t>The primary outcome of this study was the mega-analysis results, as they are expected to be more robust. Supplementary Table S</w:t>
      </w:r>
      <w:r>
        <w:rPr>
          <w:rFonts w:eastAsia="Noto Sans CJK SC" w:ascii="Liberation Sans" w:hAnsi="Liberation Sans"/>
        </w:rPr>
        <w:t>5</w:t>
      </w:r>
      <w:r>
        <w:rPr>
          <w:rFonts w:eastAsia="Noto Sans CJK SC" w:ascii="Liberation Sans" w:hAnsi="Liberation Sans"/>
        </w:rPr>
        <w:t xml:space="preserve"> and S</w:t>
      </w:r>
      <w:r>
        <w:rPr>
          <w:rFonts w:eastAsia="Noto Sans CJK SC" w:ascii="Liberation Sans" w:hAnsi="Liberation Sans"/>
        </w:rPr>
        <w:t>6</w:t>
      </w:r>
      <w:r>
        <w:rPr>
          <w:rFonts w:eastAsia="Noto Sans CJK SC" w:ascii="Liberation Sans" w:hAnsi="Liberation Sans"/>
        </w:rPr>
        <w:t xml:space="preserve"> lists genes, which were exome-wide significant in one of the studies, but not in joint analyses. While these genes generally did not replicate, when taking into account multiple testing, we wish to highlight two exome-wide significant genes in EMIF: </w:t>
      </w:r>
      <w:r>
        <w:rPr>
          <w:rFonts w:eastAsia="Noto Sans CJK SC" w:ascii="Liberation Sans" w:hAnsi="Liberation Sans"/>
          <w:i/>
          <w:iCs/>
        </w:rPr>
        <w:t>CHI3L1</w:t>
      </w:r>
      <w:r>
        <w:rPr>
          <w:rFonts w:eastAsia="Noto Sans CJK SC" w:ascii="Liberation Sans" w:hAnsi="Liberation Sans"/>
        </w:rPr>
        <w:t xml:space="preserve"> associated with non-AD Inflammation (p</w:t>
      </w:r>
      <w:r>
        <w:rPr>
          <w:rFonts w:eastAsia="Noto Sans CJK SC" w:ascii="Liberation Sans" w:hAnsi="Liberation Sans"/>
          <w:vertAlign w:val="subscript"/>
        </w:rPr>
        <w:t>EMIF</w:t>
      </w:r>
      <w:r>
        <w:rPr>
          <w:rFonts w:eastAsia="Noto Sans CJK SC" w:ascii="Liberation Sans" w:hAnsi="Liberation Sans"/>
        </w:rPr>
        <w:t>=4.9*10</w:t>
      </w:r>
      <w:r>
        <w:rPr>
          <w:rFonts w:eastAsia="Noto Sans CJK SC" w:ascii="Liberation Sans" w:hAnsi="Liberation Sans"/>
          <w:vertAlign w:val="superscript"/>
        </w:rPr>
        <w:t>-8</w:t>
      </w:r>
      <w:r>
        <w:rPr>
          <w:rFonts w:eastAsia="Noto Sans CJK SC" w:ascii="Liberation Sans" w:hAnsi="Liberation Sans"/>
        </w:rPr>
        <w:t>, p</w:t>
      </w:r>
      <w:r>
        <w:rPr>
          <w:rFonts w:eastAsia="Noto Sans CJK SC" w:ascii="Liberation Sans" w:hAnsi="Liberation Sans"/>
          <w:vertAlign w:val="subscript"/>
        </w:rPr>
        <w:t>ADNI</w:t>
      </w:r>
      <w:r>
        <w:rPr>
          <w:rFonts w:eastAsia="Noto Sans CJK SC" w:ascii="Liberation Sans" w:hAnsi="Liberation Sans"/>
        </w:rPr>
        <w:t>=0.07,p</w:t>
      </w:r>
      <w:r>
        <w:rPr>
          <w:rFonts w:eastAsia="Noto Sans CJK SC" w:ascii="Liberation Sans" w:hAnsi="Liberation Sans"/>
          <w:vertAlign w:val="subscript"/>
        </w:rPr>
        <w:t>meta</w:t>
      </w:r>
      <w:r>
        <w:rPr>
          <w:rFonts w:eastAsia="Noto Sans CJK SC" w:ascii="Liberation Sans" w:hAnsi="Liberation Sans"/>
        </w:rPr>
        <w:t xml:space="preserve">=0.02) and </w:t>
      </w:r>
      <w:r>
        <w:rPr>
          <w:rFonts w:eastAsia="Noto Sans CJK SC" w:ascii="Liberation Sans" w:hAnsi="Liberation Sans"/>
          <w:i/>
          <w:iCs/>
        </w:rPr>
        <w:t>CLU</w:t>
      </w:r>
      <w:r>
        <w:rPr>
          <w:rFonts w:eastAsia="Noto Sans CJK SC" w:ascii="Liberation Sans" w:hAnsi="Liberation Sans"/>
        </w:rPr>
        <w:t xml:space="preserve"> with non-AD Synaptic functioning (p</w:t>
      </w:r>
      <w:r>
        <w:rPr>
          <w:rFonts w:eastAsia="Noto Sans CJK SC" w:ascii="Liberation Sans" w:hAnsi="Liberation Sans"/>
          <w:vertAlign w:val="subscript"/>
        </w:rPr>
        <w:t>EMIF</w:t>
      </w:r>
      <w:r>
        <w:rPr>
          <w:rFonts w:eastAsia="Noto Sans CJK SC" w:ascii="Liberation Sans" w:hAnsi="Liberation Sans"/>
        </w:rPr>
        <w:t>=6.0*10</w:t>
      </w:r>
      <w:r>
        <w:rPr>
          <w:rFonts w:eastAsia="Noto Sans CJK SC" w:ascii="Liberation Sans" w:hAnsi="Liberation Sans"/>
          <w:vertAlign w:val="superscript"/>
        </w:rPr>
        <w:t>-7</w:t>
      </w:r>
      <w:r>
        <w:rPr>
          <w:rFonts w:eastAsia="Noto Sans CJK SC" w:ascii="Liberation Sans" w:hAnsi="Liberation Sans"/>
        </w:rPr>
        <w:t>, p</w:t>
      </w:r>
      <w:r>
        <w:rPr>
          <w:rFonts w:eastAsia="Noto Sans CJK SC" w:ascii="Liberation Sans" w:hAnsi="Liberation Sans"/>
          <w:vertAlign w:val="subscript"/>
        </w:rPr>
        <w:t>ADNI</w:t>
      </w:r>
      <w:r>
        <w:rPr>
          <w:rFonts w:eastAsia="Noto Sans CJK SC" w:ascii="Liberation Sans" w:hAnsi="Liberation Sans"/>
        </w:rPr>
        <w:t>=0.45,p</w:t>
      </w:r>
      <w:r>
        <w:rPr>
          <w:rFonts w:eastAsia="Noto Sans CJK SC" w:ascii="Liberation Sans" w:hAnsi="Liberation Sans"/>
          <w:vertAlign w:val="subscript"/>
        </w:rPr>
        <w:t>meta</w:t>
      </w:r>
      <w:r>
        <w:rPr>
          <w:rFonts w:eastAsia="Noto Sans CJK SC" w:ascii="Liberation Sans" w:hAnsi="Liberation Sans"/>
        </w:rPr>
        <w:t xml:space="preserve">=0.01). </w:t>
      </w:r>
    </w:p>
    <w:p>
      <w:pPr>
        <w:sectPr>
          <w:headerReference w:type="default" r:id="rId5"/>
          <w:footerReference w:type="default" r:id="rId6"/>
          <w:type w:val="nextPage"/>
          <w:pgSz w:w="11906" w:h="16838"/>
          <w:pgMar w:left="1134" w:right="1134" w:gutter="0" w:header="1134" w:top="1693" w:footer="1134" w:bottom="1693"/>
          <w:pgNumType w:fmt="decimal"/>
          <w:formProt w:val="false"/>
          <w:textDirection w:val="lrTb"/>
          <w:docGrid w:type="default" w:linePitch="312" w:charSpace="4294961151"/>
        </w:sectPr>
      </w:pPr>
    </w:p>
    <w:p>
      <w:pPr>
        <w:pStyle w:val="Heading1"/>
        <w:rPr/>
      </w:pPr>
      <w:r>
        <w:rPr/>
        <w:t>Supplementary Tables</w:t>
      </w:r>
    </w:p>
    <w:p>
      <w:pPr>
        <w:pStyle w:val="Heading2"/>
        <w:rPr/>
      </w:pPr>
      <w:r>
        <w:rPr/>
        <w:t>Table S1: PCA loadings in analysis sample vs full sample</w:t>
      </w:r>
    </w:p>
    <w:tbl>
      <w:tblPr>
        <w:tblW w:w="11329" w:type="dxa"/>
        <w:jc w:val="left"/>
        <w:tblInd w:w="-60" w:type="dxa"/>
        <w:tblLayout w:type="fixed"/>
        <w:tblCellMar>
          <w:top w:w="55" w:type="dxa"/>
          <w:left w:w="55" w:type="dxa"/>
          <w:bottom w:w="55" w:type="dxa"/>
          <w:right w:w="55" w:type="dxa"/>
        </w:tblCellMar>
        <w:tblLook w:val="04a0" w:noHBand="0" w:noVBand="1" w:firstColumn="1" w:lastRow="0" w:lastColumn="0" w:firstRow="1"/>
      </w:tblPr>
      <w:tblGrid>
        <w:gridCol w:w="960"/>
        <w:gridCol w:w="153"/>
        <w:gridCol w:w="877"/>
        <w:gridCol w:w="921"/>
        <w:gridCol w:w="153"/>
        <w:gridCol w:w="153"/>
        <w:gridCol w:w="878"/>
        <w:gridCol w:w="921"/>
        <w:gridCol w:w="154"/>
        <w:gridCol w:w="153"/>
        <w:gridCol w:w="876"/>
        <w:gridCol w:w="922"/>
        <w:gridCol w:w="153"/>
        <w:gridCol w:w="153"/>
        <w:gridCol w:w="876"/>
        <w:gridCol w:w="922"/>
        <w:gridCol w:w="153"/>
        <w:gridCol w:w="153"/>
        <w:gridCol w:w="874"/>
        <w:gridCol w:w="921"/>
      </w:tblGrid>
      <w:tr>
        <w:trPr>
          <w:trHeight w:val="83" w:hRule="atLeast"/>
        </w:trPr>
        <w:tc>
          <w:tcPr>
            <w:tcW w:w="960" w:type="dxa"/>
            <w:tcBorders>
              <w:top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951" w:type="dxa"/>
            <w:gridSpan w:val="3"/>
            <w:tcBorders>
              <w:top w:val="single" w:sz="4" w:space="0" w:color="000000"/>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Tau pathology/</w:t>
            </w:r>
          </w:p>
          <w:p>
            <w:pPr>
              <w:pStyle w:val="Normal"/>
              <w:widowControl w:val="false"/>
              <w:jc w:val="right"/>
              <w:rPr>
                <w:rFonts w:ascii="Liberation Sans" w:hAnsi="Liberation Sans"/>
                <w:sz w:val="20"/>
                <w:szCs w:val="20"/>
              </w:rPr>
            </w:pPr>
            <w:r>
              <w:rPr>
                <w:rFonts w:ascii="Liberation Sans" w:hAnsi="Liberation Sans"/>
                <w:sz w:val="20"/>
                <w:szCs w:val="20"/>
              </w:rPr>
              <w:t>Degeneration</w:t>
            </w:r>
          </w:p>
        </w:tc>
        <w:tc>
          <w:tcPr>
            <w:tcW w:w="153" w:type="dxa"/>
            <w:tcBorders>
              <w:top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952" w:type="dxa"/>
            <w:gridSpan w:val="3"/>
            <w:tcBorders>
              <w:top w:val="single" w:sz="4" w:space="0" w:color="000000"/>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Injury/</w:t>
            </w:r>
          </w:p>
          <w:p>
            <w:pPr>
              <w:pStyle w:val="Normal"/>
              <w:widowControl w:val="false"/>
              <w:jc w:val="right"/>
              <w:rPr>
                <w:rFonts w:ascii="Liberation Sans" w:hAnsi="Liberation Sans"/>
                <w:sz w:val="20"/>
                <w:szCs w:val="20"/>
              </w:rPr>
            </w:pPr>
            <w:r>
              <w:rPr>
                <w:rFonts w:ascii="Liberation Sans" w:hAnsi="Liberation Sans"/>
                <w:sz w:val="20"/>
                <w:szCs w:val="20"/>
              </w:rPr>
              <w:t>Inflammation</w:t>
            </w:r>
          </w:p>
        </w:tc>
        <w:tc>
          <w:tcPr>
            <w:tcW w:w="154" w:type="dxa"/>
            <w:tcBorders>
              <w:top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951" w:type="dxa"/>
            <w:gridSpan w:val="3"/>
            <w:tcBorders>
              <w:top w:val="single" w:sz="4" w:space="0" w:color="000000"/>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Aβ Pathology</w:t>
            </w:r>
          </w:p>
        </w:tc>
        <w:tc>
          <w:tcPr>
            <w:tcW w:w="153" w:type="dxa"/>
            <w:tcBorders>
              <w:top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951" w:type="dxa"/>
            <w:gridSpan w:val="3"/>
            <w:tcBorders>
              <w:top w:val="single" w:sz="4" w:space="0" w:color="000000"/>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Non-AD</w:t>
            </w:r>
          </w:p>
          <w:p>
            <w:pPr>
              <w:pStyle w:val="Normal"/>
              <w:widowControl w:val="false"/>
              <w:jc w:val="right"/>
              <w:rPr>
                <w:rFonts w:ascii="Liberation Sans" w:hAnsi="Liberation Sans"/>
                <w:sz w:val="20"/>
                <w:szCs w:val="20"/>
              </w:rPr>
            </w:pPr>
            <w:r>
              <w:rPr>
                <w:rFonts w:ascii="Liberation Sans" w:hAnsi="Liberation Sans"/>
                <w:sz w:val="20"/>
                <w:szCs w:val="20"/>
              </w:rPr>
              <w:t>Inflammation</w:t>
            </w:r>
          </w:p>
        </w:tc>
        <w:tc>
          <w:tcPr>
            <w:tcW w:w="153" w:type="dxa"/>
            <w:tcBorders>
              <w:top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948" w:type="dxa"/>
            <w:gridSpan w:val="3"/>
            <w:tcBorders>
              <w:top w:val="single" w:sz="4" w:space="0" w:color="000000"/>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Non-AD</w:t>
            </w:r>
          </w:p>
          <w:p>
            <w:pPr>
              <w:pStyle w:val="Normal"/>
              <w:widowControl w:val="false"/>
              <w:jc w:val="right"/>
              <w:rPr>
                <w:rFonts w:ascii="Liberation Sans" w:hAnsi="Liberation Sans"/>
                <w:sz w:val="20"/>
                <w:szCs w:val="20"/>
              </w:rPr>
            </w:pPr>
            <w:r>
              <w:rPr>
                <w:rFonts w:ascii="Liberation Sans" w:hAnsi="Liberation Sans"/>
                <w:sz w:val="20"/>
                <w:szCs w:val="20"/>
              </w:rPr>
              <w:t>Synaptic functioning</w:t>
            </w:r>
          </w:p>
        </w:tc>
      </w:tr>
      <w:tr>
        <w:trPr>
          <w:trHeight w:val="256" w:hRule="atLeast"/>
        </w:trPr>
        <w:tc>
          <w:tcPr>
            <w:tcW w:w="960" w:type="dxa"/>
            <w:tcBorders/>
            <w:vAlign w:val="bottom"/>
          </w:tcPr>
          <w:p>
            <w:pPr>
              <w:pStyle w:val="Normal"/>
              <w:widowControl w:val="false"/>
              <w:rPr>
                <w:rFonts w:ascii="Liberation Sans" w:hAnsi="Liberation Sans"/>
                <w:sz w:val="20"/>
                <w:szCs w:val="20"/>
              </w:rPr>
            </w:pPr>
            <w:r>
              <w:rPr>
                <w:rFonts w:ascii="Liberation Sans" w:hAnsi="Liberation Sans"/>
                <w:sz w:val="20"/>
                <w:szCs w:val="20"/>
              </w:rPr>
              <w:t>Sample</w:t>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Analysis</w:t>
            </w:r>
          </w:p>
          <w:p>
            <w:pPr>
              <w:pStyle w:val="Normal"/>
              <w:widowControl w:val="false"/>
              <w:jc w:val="right"/>
              <w:rPr>
                <w:rFonts w:ascii="Liberation Sans" w:hAnsi="Liberation Sans"/>
                <w:sz w:val="20"/>
                <w:szCs w:val="20"/>
              </w:rPr>
            </w:pPr>
            <w:r>
              <w:rPr>
                <w:rFonts w:ascii="Liberation Sans" w:hAnsi="Liberation Sans"/>
                <w:sz w:val="20"/>
                <w:szCs w:val="20"/>
              </w:rPr>
              <w:t>(n=480)</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Full</w:t>
            </w:r>
          </w:p>
          <w:p>
            <w:pPr>
              <w:pStyle w:val="Normal"/>
              <w:widowControl w:val="false"/>
              <w:jc w:val="right"/>
              <w:rPr>
                <w:rFonts w:ascii="Liberation Sans" w:hAnsi="Liberation Sans"/>
                <w:sz w:val="20"/>
                <w:szCs w:val="20"/>
              </w:rPr>
            </w:pPr>
            <w:r>
              <w:rPr>
                <w:rFonts w:ascii="Liberation Sans" w:hAnsi="Liberation Sans"/>
                <w:sz w:val="20"/>
                <w:szCs w:val="20"/>
              </w:rPr>
              <w:t>(n=1158)</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Analysis</w:t>
            </w:r>
          </w:p>
          <w:p>
            <w:pPr>
              <w:pStyle w:val="Normal"/>
              <w:widowControl w:val="false"/>
              <w:jc w:val="right"/>
              <w:rPr>
                <w:rFonts w:ascii="Liberation Sans" w:hAnsi="Liberation Sans"/>
                <w:sz w:val="20"/>
                <w:szCs w:val="20"/>
              </w:rPr>
            </w:pPr>
            <w:r>
              <w:rPr>
                <w:rFonts w:ascii="Liberation Sans" w:hAnsi="Liberation Sans"/>
                <w:sz w:val="20"/>
                <w:szCs w:val="20"/>
              </w:rPr>
              <w:t>(n=480)</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Full</w:t>
            </w:r>
          </w:p>
          <w:p>
            <w:pPr>
              <w:pStyle w:val="Normal"/>
              <w:widowControl w:val="false"/>
              <w:jc w:val="right"/>
              <w:rPr>
                <w:rFonts w:ascii="Liberation Sans" w:hAnsi="Liberation Sans"/>
                <w:sz w:val="20"/>
                <w:szCs w:val="20"/>
              </w:rPr>
            </w:pPr>
            <w:r>
              <w:rPr>
                <w:rFonts w:ascii="Liberation Sans" w:hAnsi="Liberation Sans"/>
                <w:sz w:val="20"/>
                <w:szCs w:val="20"/>
              </w:rPr>
              <w:t>(n=1158)</w:t>
            </w:r>
          </w:p>
        </w:tc>
        <w:tc>
          <w:tcPr>
            <w:tcW w:w="15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Analysis</w:t>
            </w:r>
          </w:p>
          <w:p>
            <w:pPr>
              <w:pStyle w:val="Normal"/>
              <w:widowControl w:val="false"/>
              <w:jc w:val="right"/>
              <w:rPr>
                <w:rFonts w:ascii="Liberation Sans" w:hAnsi="Liberation Sans"/>
                <w:sz w:val="20"/>
                <w:szCs w:val="20"/>
              </w:rPr>
            </w:pPr>
            <w:r>
              <w:rPr>
                <w:rFonts w:ascii="Liberation Sans" w:hAnsi="Liberation Sans"/>
                <w:sz w:val="20"/>
                <w:szCs w:val="20"/>
              </w:rPr>
              <w:t>(n=480)</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Full</w:t>
            </w:r>
          </w:p>
          <w:p>
            <w:pPr>
              <w:pStyle w:val="Normal"/>
              <w:widowControl w:val="false"/>
              <w:jc w:val="right"/>
              <w:rPr>
                <w:rFonts w:ascii="Liberation Sans" w:hAnsi="Liberation Sans"/>
                <w:sz w:val="20"/>
                <w:szCs w:val="20"/>
              </w:rPr>
            </w:pPr>
            <w:r>
              <w:rPr>
                <w:rFonts w:ascii="Liberation Sans" w:hAnsi="Liberation Sans"/>
                <w:sz w:val="20"/>
                <w:szCs w:val="20"/>
              </w:rPr>
              <w:t>(n=1158)</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Analysis</w:t>
            </w:r>
          </w:p>
          <w:p>
            <w:pPr>
              <w:pStyle w:val="Normal"/>
              <w:widowControl w:val="false"/>
              <w:jc w:val="right"/>
              <w:rPr>
                <w:rFonts w:ascii="Liberation Sans" w:hAnsi="Liberation Sans"/>
                <w:sz w:val="20"/>
                <w:szCs w:val="20"/>
              </w:rPr>
            </w:pPr>
            <w:r>
              <w:rPr>
                <w:rFonts w:ascii="Liberation Sans" w:hAnsi="Liberation Sans"/>
                <w:sz w:val="20"/>
                <w:szCs w:val="20"/>
              </w:rPr>
              <w:t>(n=480)</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Full</w:t>
            </w:r>
          </w:p>
          <w:p>
            <w:pPr>
              <w:pStyle w:val="Normal"/>
              <w:widowControl w:val="false"/>
              <w:jc w:val="right"/>
              <w:rPr>
                <w:rFonts w:ascii="Liberation Sans" w:hAnsi="Liberation Sans"/>
                <w:sz w:val="20"/>
                <w:szCs w:val="20"/>
              </w:rPr>
            </w:pPr>
            <w:r>
              <w:rPr>
                <w:rFonts w:ascii="Liberation Sans" w:hAnsi="Liberation Sans"/>
                <w:sz w:val="20"/>
                <w:szCs w:val="20"/>
              </w:rPr>
              <w:t>(n=1158)</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Analysis</w:t>
            </w:r>
          </w:p>
          <w:p>
            <w:pPr>
              <w:pStyle w:val="Normal"/>
              <w:widowControl w:val="false"/>
              <w:jc w:val="right"/>
              <w:rPr>
                <w:rFonts w:ascii="Liberation Sans" w:hAnsi="Liberation Sans"/>
                <w:sz w:val="20"/>
                <w:szCs w:val="20"/>
              </w:rPr>
            </w:pPr>
            <w:r>
              <w:rPr>
                <w:rFonts w:ascii="Liberation Sans" w:hAnsi="Liberation Sans"/>
                <w:sz w:val="20"/>
                <w:szCs w:val="20"/>
              </w:rPr>
              <w:t>(n=480)</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Full</w:t>
            </w:r>
          </w:p>
          <w:p>
            <w:pPr>
              <w:pStyle w:val="Normal"/>
              <w:widowControl w:val="false"/>
              <w:jc w:val="right"/>
              <w:rPr>
                <w:rFonts w:ascii="Liberation Sans" w:hAnsi="Liberation Sans"/>
                <w:sz w:val="20"/>
                <w:szCs w:val="20"/>
              </w:rPr>
            </w:pPr>
            <w:r>
              <w:rPr>
                <w:rFonts w:ascii="Liberation Sans" w:hAnsi="Liberation Sans"/>
                <w:sz w:val="20"/>
                <w:szCs w:val="20"/>
              </w:rPr>
              <w:t>(n=1158)</w:t>
            </w:r>
          </w:p>
        </w:tc>
      </w:tr>
      <w:tr>
        <w:trPr>
          <w:trHeight w:val="256" w:hRule="atLeast"/>
        </w:trPr>
        <w:tc>
          <w:tcPr>
            <w:tcW w:w="960" w:type="dxa"/>
            <w:tcBorders/>
            <w:vAlign w:val="bottom"/>
          </w:tcPr>
          <w:p>
            <w:pPr>
              <w:pStyle w:val="Normal"/>
              <w:widowControl w:val="false"/>
              <w:rPr>
                <w:rFonts w:ascii="Liberation Sans" w:hAnsi="Liberation Sans"/>
                <w:i/>
                <w:i/>
                <w:iCs/>
                <w:sz w:val="20"/>
                <w:szCs w:val="20"/>
              </w:rPr>
            </w:pPr>
            <w:r>
              <w:rPr>
                <w:rFonts w:ascii="Liberation Sans" w:hAnsi="Liberation Sans"/>
                <w:i/>
                <w:iCs/>
                <w:sz w:val="20"/>
                <w:szCs w:val="20"/>
              </w:rPr>
              <w:t>Loadings</w:t>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8"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4"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r>
      <w:tr>
        <w:trPr>
          <w:trHeight w:val="256" w:hRule="atLeast"/>
        </w:trPr>
        <w:tc>
          <w:tcPr>
            <w:tcW w:w="960" w:type="dxa"/>
            <w:tcBorders/>
            <w:vAlign w:val="bottom"/>
          </w:tcPr>
          <w:p>
            <w:pPr>
              <w:pStyle w:val="Normal"/>
              <w:widowControl w:val="false"/>
              <w:rPr>
                <w:rFonts w:ascii="Liberation Sans" w:hAnsi="Liberation Sans"/>
                <w:sz w:val="20"/>
                <w:szCs w:val="20"/>
              </w:rPr>
            </w:pPr>
            <w:r>
              <w:rPr>
                <w:rFonts w:ascii="Liberation Sans" w:hAnsi="Liberation Sans"/>
                <w:sz w:val="20"/>
                <w:szCs w:val="20"/>
              </w:rPr>
              <w:t>Tau</w:t>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0.86</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0.87</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0.23</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0.23</w:t>
            </w:r>
          </w:p>
        </w:tc>
        <w:tc>
          <w:tcPr>
            <w:tcW w:w="15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-0.05</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-0.06</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0.27</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0.24</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0.28</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0.27</w:t>
            </w:r>
          </w:p>
        </w:tc>
      </w:tr>
      <w:tr>
        <w:trPr>
          <w:trHeight w:val="256" w:hRule="atLeast"/>
        </w:trPr>
        <w:tc>
          <w:tcPr>
            <w:tcW w:w="960" w:type="dxa"/>
            <w:tcBorders/>
            <w:vAlign w:val="bottom"/>
          </w:tcPr>
          <w:p>
            <w:pPr>
              <w:pStyle w:val="Normal"/>
              <w:widowControl w:val="false"/>
              <w:rPr>
                <w:rFonts w:ascii="Liberation Sans" w:hAnsi="Liberation Sans"/>
                <w:sz w:val="20"/>
                <w:szCs w:val="20"/>
              </w:rPr>
            </w:pPr>
            <w:r>
              <w:rPr>
                <w:rFonts w:ascii="Liberation Sans" w:hAnsi="Liberation Sans"/>
                <w:sz w:val="20"/>
                <w:szCs w:val="20"/>
              </w:rPr>
              <w:t>pTau</w:t>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0.92</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0.91</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0.11</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0.14</w:t>
            </w:r>
          </w:p>
        </w:tc>
        <w:tc>
          <w:tcPr>
            <w:tcW w:w="15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-0.07</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-0.08</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0.17</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0.20</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0.26</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0.26</w:t>
            </w:r>
          </w:p>
        </w:tc>
      </w:tr>
      <w:tr>
        <w:trPr>
          <w:trHeight w:val="256" w:hRule="atLeast"/>
        </w:trPr>
        <w:tc>
          <w:tcPr>
            <w:tcW w:w="960" w:type="dxa"/>
            <w:tcBorders/>
            <w:vAlign w:val="bottom"/>
          </w:tcPr>
          <w:p>
            <w:pPr>
              <w:pStyle w:val="Normal"/>
              <w:widowControl w:val="false"/>
              <w:rPr>
                <w:rFonts w:ascii="Liberation Sans" w:hAnsi="Liberation Sans"/>
                <w:sz w:val="20"/>
                <w:szCs w:val="20"/>
              </w:rPr>
            </w:pPr>
            <w:r>
              <w:rPr>
                <w:rFonts w:ascii="Liberation Sans" w:hAnsi="Liberation Sans"/>
                <w:sz w:val="20"/>
                <w:szCs w:val="20"/>
              </w:rPr>
              <w:t>Aβ</w:t>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-0.07</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-0.07</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-0.04</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-0.03</w:t>
            </w:r>
          </w:p>
        </w:tc>
        <w:tc>
          <w:tcPr>
            <w:tcW w:w="15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1.00</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1.00</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-0.04</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0.00</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0.03</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0.04</w:t>
            </w:r>
          </w:p>
        </w:tc>
      </w:tr>
      <w:tr>
        <w:trPr>
          <w:trHeight w:val="256" w:hRule="atLeast"/>
        </w:trPr>
        <w:tc>
          <w:tcPr>
            <w:tcW w:w="960" w:type="dxa"/>
            <w:tcBorders/>
            <w:vAlign w:val="bottom"/>
          </w:tcPr>
          <w:p>
            <w:pPr>
              <w:pStyle w:val="Normal"/>
              <w:widowControl w:val="false"/>
              <w:rPr>
                <w:rFonts w:ascii="Liberation Sans" w:hAnsi="Liberation Sans"/>
                <w:sz w:val="20"/>
                <w:szCs w:val="20"/>
              </w:rPr>
            </w:pPr>
            <w:r>
              <w:rPr>
                <w:rFonts w:ascii="Liberation Sans" w:hAnsi="Liberation Sans"/>
                <w:sz w:val="20"/>
                <w:szCs w:val="20"/>
              </w:rPr>
              <w:t>NfL</w:t>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0.19</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0.21</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0.94</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0.94</w:t>
            </w:r>
          </w:p>
        </w:tc>
        <w:tc>
          <w:tcPr>
            <w:tcW w:w="15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-0.05</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-0.03</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0.25</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0.25</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0.09</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0.08</w:t>
            </w:r>
          </w:p>
        </w:tc>
      </w:tr>
      <w:tr>
        <w:trPr>
          <w:trHeight w:val="256" w:hRule="atLeast"/>
        </w:trPr>
        <w:tc>
          <w:tcPr>
            <w:tcW w:w="960" w:type="dxa"/>
            <w:tcBorders/>
            <w:vAlign w:val="bottom"/>
          </w:tcPr>
          <w:p>
            <w:pPr>
              <w:pStyle w:val="Normal"/>
              <w:widowControl w:val="false"/>
              <w:rPr>
                <w:rFonts w:ascii="Liberation Sans" w:hAnsi="Liberation Sans"/>
                <w:sz w:val="20"/>
                <w:szCs w:val="20"/>
              </w:rPr>
            </w:pPr>
            <w:r>
              <w:rPr>
                <w:rFonts w:ascii="Liberation Sans" w:hAnsi="Liberation Sans"/>
                <w:sz w:val="20"/>
                <w:szCs w:val="20"/>
              </w:rPr>
              <w:t>YKL-40</w:t>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0.31</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0.32</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0.30</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0.32</w:t>
            </w:r>
          </w:p>
        </w:tc>
        <w:tc>
          <w:tcPr>
            <w:tcW w:w="15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-0.05</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0.00</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0.89</w:t>
            </w:r>
          </w:p>
        </w:tc>
        <w:tc>
          <w:tcPr>
            <w:tcW w:w="92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0.88</w:t>
            </w:r>
          </w:p>
        </w:tc>
        <w:tc>
          <w:tcPr>
            <w:tcW w:w="15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0.16</w:t>
            </w:r>
          </w:p>
        </w:tc>
        <w:tc>
          <w:tcPr>
            <w:tcW w:w="9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0.17</w:t>
            </w:r>
          </w:p>
        </w:tc>
      </w:tr>
      <w:tr>
        <w:trPr>
          <w:trHeight w:val="256" w:hRule="atLeast"/>
        </w:trPr>
        <w:tc>
          <w:tcPr>
            <w:tcW w:w="960"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t>Ng</w:t>
            </w:r>
          </w:p>
        </w:tc>
        <w:tc>
          <w:tcPr>
            <w:tcW w:w="153" w:type="dxa"/>
            <w:tcBorders>
              <w:bottom w:val="single" w:sz="4" w:space="0" w:color="000000"/>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7"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0.48</w:t>
            </w:r>
          </w:p>
        </w:tc>
        <w:tc>
          <w:tcPr>
            <w:tcW w:w="921"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0.51</w:t>
            </w:r>
          </w:p>
        </w:tc>
        <w:tc>
          <w:tcPr>
            <w:tcW w:w="153"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bottom w:val="single" w:sz="4" w:space="0" w:color="000000"/>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8"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0.11</w:t>
            </w:r>
          </w:p>
        </w:tc>
        <w:tc>
          <w:tcPr>
            <w:tcW w:w="921"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0.10</w:t>
            </w:r>
          </w:p>
        </w:tc>
        <w:tc>
          <w:tcPr>
            <w:tcW w:w="154"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bottom w:val="single" w:sz="4" w:space="0" w:color="000000"/>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0.05</w:t>
            </w:r>
          </w:p>
        </w:tc>
        <w:tc>
          <w:tcPr>
            <w:tcW w:w="922"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0.07</w:t>
            </w:r>
          </w:p>
        </w:tc>
        <w:tc>
          <w:tcPr>
            <w:tcW w:w="153"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bottom w:val="single" w:sz="4" w:space="0" w:color="000000"/>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6"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0.18</w:t>
            </w:r>
          </w:p>
        </w:tc>
        <w:tc>
          <w:tcPr>
            <w:tcW w:w="922"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0.18</w:t>
            </w:r>
          </w:p>
        </w:tc>
        <w:tc>
          <w:tcPr>
            <w:tcW w:w="153"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153" w:type="dxa"/>
            <w:tcBorders>
              <w:bottom w:val="single" w:sz="4" w:space="0" w:color="000000"/>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r>
          </w:p>
        </w:tc>
        <w:tc>
          <w:tcPr>
            <w:tcW w:w="874"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0.85</w:t>
            </w:r>
          </w:p>
        </w:tc>
        <w:tc>
          <w:tcPr>
            <w:tcW w:w="921"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0.83</w:t>
            </w:r>
          </w:p>
        </w:tc>
      </w:tr>
    </w:tbl>
    <w:p>
      <w:pPr>
        <w:pStyle w:val="Normal"/>
        <w:numPr>
          <w:ilvl w:val="0"/>
          <w:numId w:val="0"/>
        </w:numPr>
        <w:outlineLvl w:val="0"/>
        <w:rPr/>
      </w:pPr>
      <w:r>
        <w:rPr>
          <w:rFonts w:eastAsia="Noto Sans CJK SC" w:ascii="Liberation Sans" w:hAnsi="Liberation Sans"/>
          <w:b/>
          <w:bCs/>
          <w:sz w:val="20"/>
          <w:szCs w:val="20"/>
        </w:rPr>
        <w:t xml:space="preserve">Table S1: PCA results. </w:t>
      </w:r>
      <w:r>
        <w:rPr>
          <w:rFonts w:eastAsia="Noto Sans CJK SC" w:ascii="Liberation Sans" w:hAnsi="Liberation Sans"/>
          <w:sz w:val="20"/>
          <w:szCs w:val="20"/>
        </w:rPr>
        <w:t>Principal component analysis of CSF biomarkers in main analysis sample with genetic information available (n=480) and in full sample not filtered for availability of genetic information (n=1158). Component loadings of each biomarker (first column) on five principal components (column groups two to six) are displayed.</w:t>
      </w:r>
    </w:p>
    <w:p>
      <w:pPr>
        <w:pStyle w:val="TextBody"/>
        <w:rPr/>
      </w:pPr>
      <w:r>
        <w:rPr/>
      </w:r>
      <w:r>
        <w:br w:type="page"/>
      </w:r>
    </w:p>
    <w:p>
      <w:pPr>
        <w:pStyle w:val="Normal"/>
        <w:rPr/>
      </w:pPr>
      <w:r>
        <w:rPr/>
      </w:r>
    </w:p>
    <w:p>
      <w:pPr>
        <w:pStyle w:val="Heading2"/>
        <w:rPr/>
      </w:pPr>
      <w:r>
        <w:rPr/>
        <w:t>Table S2: Single-variant results (spreadsheet download separately available).</w:t>
      </w:r>
    </w:p>
    <w:p>
      <w:pPr>
        <w:pStyle w:val="TextBody"/>
        <w:rPr>
          <w:rFonts w:ascii="Liberation Sans" w:hAnsi="Liberation Sans"/>
        </w:rPr>
      </w:pPr>
      <w:r>
        <w:rPr>
          <w:rFonts w:ascii="Liberation Sans" w:hAnsi="Liberation Sans"/>
        </w:rPr>
        <w:t xml:space="preserve">This table contains the association results of single variants, as well as additional information on location, function and predicted deleteriousness. We only considered variants within genes showing exome-wide significance (Table 3) and which were polymorphic in the analysis sample (max n=480). Depending on whether the gene was significant in a protein-coding or loss-of-function model, we only analyzed rare (MAF &lt;1%) protein-coding or loss-of-function variants, respectively. We associated these variants with those CSF biomarker principal components (PC), which showed a significant association on a gene level. PCs, residualized for sex, age and genetic ancestry, were regressed on the number of rare alleles. </w:t>
      </w:r>
    </w:p>
    <w:p>
      <w:pPr>
        <w:pStyle w:val="Heading2"/>
        <w:rPr/>
      </w:pPr>
      <w:r>
        <w:rPr/>
      </w:r>
    </w:p>
    <w:p>
      <w:pPr>
        <w:pStyle w:val="Heading2"/>
        <w:rPr/>
      </w:pPr>
      <w:r>
        <w:rPr/>
        <w:t>Table S3: Associations between exome-wide significant genes and MMSE</w:t>
      </w:r>
    </w:p>
    <w:tbl>
      <w:tblPr>
        <w:tblW w:w="13088" w:type="dxa"/>
        <w:jc w:val="left"/>
        <w:tblInd w:w="-609" w:type="dxa"/>
        <w:tblLayout w:type="fixed"/>
        <w:tblCellMar>
          <w:top w:w="55" w:type="dxa"/>
          <w:left w:w="55" w:type="dxa"/>
          <w:bottom w:w="55" w:type="dxa"/>
          <w:right w:w="55" w:type="dxa"/>
        </w:tblCellMar>
        <w:tblLook w:val="04a0" w:noHBand="0" w:noVBand="1" w:firstColumn="1" w:lastRow="0" w:lastColumn="0" w:firstRow="1"/>
      </w:tblPr>
      <w:tblGrid>
        <w:gridCol w:w="1782"/>
        <w:gridCol w:w="1118"/>
        <w:gridCol w:w="1115"/>
        <w:gridCol w:w="156"/>
        <w:gridCol w:w="569"/>
        <w:gridCol w:w="581"/>
        <w:gridCol w:w="750"/>
        <w:gridCol w:w="627"/>
        <w:gridCol w:w="203"/>
        <w:gridCol w:w="556"/>
        <w:gridCol w:w="581"/>
        <w:gridCol w:w="750"/>
        <w:gridCol w:w="630"/>
        <w:gridCol w:w="200"/>
        <w:gridCol w:w="687"/>
        <w:gridCol w:w="584"/>
        <w:gridCol w:w="628"/>
        <w:gridCol w:w="750"/>
        <w:gridCol w:w="820"/>
      </w:tblGrid>
      <w:tr>
        <w:trPr>
          <w:trHeight w:val="300" w:hRule="atLeast"/>
        </w:trPr>
        <w:tc>
          <w:tcPr>
            <w:tcW w:w="1782" w:type="dxa"/>
            <w:tcBorders>
              <w:top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1118" w:type="dxa"/>
            <w:tcBorders>
              <w:top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1115" w:type="dxa"/>
            <w:tcBorders>
              <w:top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156" w:type="dxa"/>
            <w:tcBorders>
              <w:top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2527" w:type="dxa"/>
            <w:gridSpan w:val="4"/>
            <w:tcBorders>
              <w:top w:val="single" w:sz="4" w:space="0" w:color="000000"/>
              <w:bottom w:val="single" w:sz="4" w:space="0" w:color="000000"/>
            </w:tcBorders>
            <w:vAlign w:val="center"/>
          </w:tcPr>
          <w:p>
            <w:pPr>
              <w:pStyle w:val="Normal"/>
              <w:widowControl w:val="false"/>
              <w:jc w:val="center"/>
              <w:rPr>
                <w:rFonts w:ascii="Liberation Sans" w:hAnsi="Liberation Sans"/>
                <w:sz w:val="20"/>
                <w:szCs w:val="20"/>
              </w:rPr>
            </w:pPr>
            <w:r>
              <w:rPr>
                <w:rFonts w:ascii="Liberation Sans" w:hAnsi="Liberation Sans"/>
                <w:sz w:val="20"/>
                <w:szCs w:val="20"/>
              </w:rPr>
              <w:t>ADNI</w:t>
            </w:r>
          </w:p>
        </w:tc>
        <w:tc>
          <w:tcPr>
            <w:tcW w:w="203" w:type="dxa"/>
            <w:tcBorders>
              <w:top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2517" w:type="dxa"/>
            <w:gridSpan w:val="4"/>
            <w:tcBorders>
              <w:top w:val="single" w:sz="4" w:space="0" w:color="000000"/>
              <w:bottom w:val="single" w:sz="4" w:space="0" w:color="000000"/>
            </w:tcBorders>
            <w:vAlign w:val="center"/>
          </w:tcPr>
          <w:p>
            <w:pPr>
              <w:pStyle w:val="Normal"/>
              <w:widowControl w:val="false"/>
              <w:jc w:val="center"/>
              <w:rPr>
                <w:rFonts w:ascii="Liberation Sans" w:hAnsi="Liberation Sans"/>
                <w:sz w:val="20"/>
                <w:szCs w:val="20"/>
              </w:rPr>
            </w:pPr>
            <w:r>
              <w:rPr>
                <w:rFonts w:ascii="Liberation Sans" w:hAnsi="Liberation Sans"/>
                <w:sz w:val="20"/>
                <w:szCs w:val="20"/>
              </w:rPr>
              <w:t>EMIF</w:t>
            </w:r>
          </w:p>
        </w:tc>
        <w:tc>
          <w:tcPr>
            <w:tcW w:w="200" w:type="dxa"/>
            <w:tcBorders>
              <w:top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3469" w:type="dxa"/>
            <w:gridSpan w:val="5"/>
            <w:tcBorders>
              <w:top w:val="single" w:sz="4" w:space="0" w:color="000000"/>
              <w:bottom w:val="single" w:sz="4" w:space="0" w:color="000000"/>
            </w:tcBorders>
            <w:vAlign w:val="center"/>
          </w:tcPr>
          <w:p>
            <w:pPr>
              <w:pStyle w:val="Normal"/>
              <w:widowControl w:val="false"/>
              <w:jc w:val="center"/>
              <w:rPr>
                <w:rFonts w:ascii="Liberation Sans" w:hAnsi="Liberation Sans"/>
                <w:sz w:val="20"/>
                <w:szCs w:val="20"/>
              </w:rPr>
            </w:pPr>
            <w:r>
              <w:rPr>
                <w:rFonts w:ascii="Liberation Sans" w:hAnsi="Liberation Sans"/>
                <w:sz w:val="20"/>
                <w:szCs w:val="20"/>
              </w:rPr>
              <w:t>Mega</w:t>
            </w:r>
          </w:p>
        </w:tc>
      </w:tr>
      <w:tr>
        <w:trPr>
          <w:trHeight w:val="300" w:hRule="atLeast"/>
        </w:trPr>
        <w:tc>
          <w:tcPr>
            <w:tcW w:w="1782"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t>Mediator</w:t>
            </w:r>
          </w:p>
        </w:tc>
        <w:tc>
          <w:tcPr>
            <w:tcW w:w="1118"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t>Gene</w:t>
            </w:r>
          </w:p>
        </w:tc>
        <w:tc>
          <w:tcPr>
            <w:tcW w:w="1115"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t>Model</w:t>
            </w:r>
          </w:p>
        </w:tc>
        <w:tc>
          <w:tcPr>
            <w:tcW w:w="156"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69" w:type="dxa"/>
            <w:tcBorders>
              <w:bottom w:val="single" w:sz="4" w:space="0" w:color="000000"/>
            </w:tcBorders>
            <w:vAlign w:val="bottom"/>
          </w:tcPr>
          <w:p>
            <w:pPr>
              <w:pStyle w:val="Normal"/>
              <w:widowControl w:val="false"/>
              <w:jc w:val="center"/>
              <w:rPr>
                <w:rFonts w:ascii="Liberation Sans" w:hAnsi="Liberation Sans"/>
                <w:sz w:val="20"/>
                <w:szCs w:val="20"/>
              </w:rPr>
            </w:pPr>
            <w:r>
              <w:rPr>
                <w:rFonts w:ascii="Liberation Sans" w:hAnsi="Liberation Sans"/>
                <w:sz w:val="20"/>
                <w:szCs w:val="20"/>
              </w:rPr>
              <w:t>n</w:t>
            </w:r>
          </w:p>
        </w:tc>
        <w:tc>
          <w:tcPr>
            <w:tcW w:w="581" w:type="dxa"/>
            <w:tcBorders>
              <w:bottom w:val="single" w:sz="4" w:space="0" w:color="000000"/>
            </w:tcBorders>
            <w:vAlign w:val="bottom"/>
          </w:tcPr>
          <w:p>
            <w:pPr>
              <w:pStyle w:val="Normal"/>
              <w:widowControl w:val="false"/>
              <w:jc w:val="center"/>
              <w:rPr/>
            </w:pPr>
            <w:r>
              <w:rPr>
                <w:rFonts w:ascii="Liberation Sans" w:hAnsi="Liberation Sans"/>
                <w:sz w:val="20"/>
                <w:szCs w:val="20"/>
              </w:rPr>
              <w:t>n</w:t>
            </w:r>
            <w:r>
              <w:rPr>
                <w:rFonts w:ascii="Liberation Sans" w:hAnsi="Liberation Sans"/>
                <w:sz w:val="20"/>
                <w:szCs w:val="20"/>
                <w:vertAlign w:val="subscript"/>
              </w:rPr>
              <w:t>snps</w:t>
            </w:r>
          </w:p>
        </w:tc>
        <w:tc>
          <w:tcPr>
            <w:tcW w:w="750" w:type="dxa"/>
            <w:tcBorders>
              <w:bottom w:val="single" w:sz="4" w:space="0" w:color="000000"/>
            </w:tcBorders>
            <w:vAlign w:val="bottom"/>
          </w:tcPr>
          <w:p>
            <w:pPr>
              <w:pStyle w:val="Normal"/>
              <w:widowControl w:val="false"/>
              <w:jc w:val="center"/>
              <w:rPr/>
            </w:pPr>
            <w:r>
              <w:rPr>
                <w:rFonts w:ascii="Liberation Sans" w:hAnsi="Liberation Sans"/>
                <w:sz w:val="20"/>
                <w:szCs w:val="20"/>
              </w:rPr>
              <w:t>n</w:t>
            </w:r>
            <w:r>
              <w:rPr>
                <w:rFonts w:ascii="Liberation Sans" w:hAnsi="Liberation Sans"/>
                <w:sz w:val="20"/>
                <w:szCs w:val="20"/>
                <w:vertAlign w:val="subscript"/>
              </w:rPr>
              <w:t>carriers</w:t>
            </w:r>
          </w:p>
        </w:tc>
        <w:tc>
          <w:tcPr>
            <w:tcW w:w="627" w:type="dxa"/>
            <w:tcBorders>
              <w:bottom w:val="single" w:sz="4" w:space="0" w:color="000000"/>
            </w:tcBorders>
            <w:vAlign w:val="bottom"/>
          </w:tcPr>
          <w:p>
            <w:pPr>
              <w:pStyle w:val="Normal"/>
              <w:widowControl w:val="false"/>
              <w:jc w:val="center"/>
              <w:rPr>
                <w:rFonts w:ascii="Liberation Sans" w:hAnsi="Liberation Sans"/>
                <w:sz w:val="20"/>
                <w:szCs w:val="20"/>
              </w:rPr>
            </w:pPr>
            <w:r>
              <w:rPr>
                <w:rFonts w:ascii="Liberation Sans" w:hAnsi="Liberation Sans"/>
                <w:sz w:val="20"/>
                <w:szCs w:val="20"/>
              </w:rPr>
              <w:t>p</w:t>
            </w:r>
          </w:p>
        </w:tc>
        <w:tc>
          <w:tcPr>
            <w:tcW w:w="203"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56" w:type="dxa"/>
            <w:tcBorders>
              <w:bottom w:val="single" w:sz="4" w:space="0" w:color="000000"/>
            </w:tcBorders>
            <w:vAlign w:val="bottom"/>
          </w:tcPr>
          <w:p>
            <w:pPr>
              <w:pStyle w:val="Normal"/>
              <w:widowControl w:val="false"/>
              <w:jc w:val="center"/>
              <w:rPr>
                <w:rFonts w:ascii="Liberation Sans" w:hAnsi="Liberation Sans"/>
                <w:sz w:val="20"/>
                <w:szCs w:val="20"/>
              </w:rPr>
            </w:pPr>
            <w:r>
              <w:rPr>
                <w:rFonts w:ascii="Liberation Sans" w:hAnsi="Liberation Sans"/>
                <w:sz w:val="20"/>
                <w:szCs w:val="20"/>
              </w:rPr>
              <w:t>n</w:t>
            </w:r>
          </w:p>
        </w:tc>
        <w:tc>
          <w:tcPr>
            <w:tcW w:w="581" w:type="dxa"/>
            <w:tcBorders>
              <w:bottom w:val="single" w:sz="4" w:space="0" w:color="000000"/>
            </w:tcBorders>
            <w:vAlign w:val="bottom"/>
          </w:tcPr>
          <w:p>
            <w:pPr>
              <w:pStyle w:val="Normal"/>
              <w:widowControl w:val="false"/>
              <w:jc w:val="center"/>
              <w:rPr/>
            </w:pPr>
            <w:r>
              <w:rPr>
                <w:rFonts w:ascii="Liberation Sans" w:hAnsi="Liberation Sans"/>
                <w:sz w:val="20"/>
                <w:szCs w:val="20"/>
              </w:rPr>
              <w:t>n</w:t>
            </w:r>
            <w:r>
              <w:rPr>
                <w:rFonts w:ascii="Liberation Sans" w:hAnsi="Liberation Sans"/>
                <w:sz w:val="20"/>
                <w:szCs w:val="20"/>
                <w:vertAlign w:val="subscript"/>
              </w:rPr>
              <w:t>snps</w:t>
            </w:r>
          </w:p>
        </w:tc>
        <w:tc>
          <w:tcPr>
            <w:tcW w:w="750" w:type="dxa"/>
            <w:tcBorders>
              <w:bottom w:val="single" w:sz="4" w:space="0" w:color="000000"/>
            </w:tcBorders>
            <w:vAlign w:val="bottom"/>
          </w:tcPr>
          <w:p>
            <w:pPr>
              <w:pStyle w:val="Normal"/>
              <w:widowControl w:val="false"/>
              <w:jc w:val="center"/>
              <w:rPr/>
            </w:pPr>
            <w:r>
              <w:rPr>
                <w:rFonts w:ascii="Liberation Sans" w:hAnsi="Liberation Sans"/>
                <w:sz w:val="20"/>
                <w:szCs w:val="20"/>
              </w:rPr>
              <w:t>n</w:t>
            </w:r>
            <w:r>
              <w:rPr>
                <w:rFonts w:ascii="Liberation Sans" w:hAnsi="Liberation Sans"/>
                <w:sz w:val="20"/>
                <w:szCs w:val="20"/>
                <w:vertAlign w:val="subscript"/>
              </w:rPr>
              <w:t>carriers</w:t>
            </w:r>
          </w:p>
        </w:tc>
        <w:tc>
          <w:tcPr>
            <w:tcW w:w="630" w:type="dxa"/>
            <w:tcBorders>
              <w:bottom w:val="single" w:sz="4" w:space="0" w:color="000000"/>
            </w:tcBorders>
            <w:vAlign w:val="bottom"/>
          </w:tcPr>
          <w:p>
            <w:pPr>
              <w:pStyle w:val="Normal"/>
              <w:widowControl w:val="false"/>
              <w:jc w:val="center"/>
              <w:rPr>
                <w:rFonts w:ascii="Liberation Sans" w:hAnsi="Liberation Sans"/>
                <w:sz w:val="20"/>
                <w:szCs w:val="20"/>
              </w:rPr>
            </w:pPr>
            <w:r>
              <w:rPr>
                <w:rFonts w:ascii="Liberation Sans" w:hAnsi="Liberation Sans"/>
                <w:sz w:val="20"/>
                <w:szCs w:val="20"/>
              </w:rPr>
              <w:t>p</w:t>
            </w:r>
          </w:p>
        </w:tc>
        <w:tc>
          <w:tcPr>
            <w:tcW w:w="200"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687" w:type="dxa"/>
            <w:tcBorders>
              <w:bottom w:val="single" w:sz="4" w:space="0" w:color="000000"/>
            </w:tcBorders>
            <w:vAlign w:val="bottom"/>
          </w:tcPr>
          <w:p>
            <w:pPr>
              <w:pStyle w:val="Normal"/>
              <w:widowControl w:val="false"/>
              <w:jc w:val="center"/>
              <w:rPr>
                <w:rFonts w:ascii="Liberation Sans" w:hAnsi="Liberation Sans"/>
                <w:sz w:val="20"/>
                <w:szCs w:val="20"/>
              </w:rPr>
            </w:pPr>
            <w:r>
              <w:rPr>
                <w:rFonts w:ascii="Liberation Sans" w:hAnsi="Liberation Sans"/>
                <w:sz w:val="20"/>
                <w:szCs w:val="20"/>
              </w:rPr>
              <w:t>n</w:t>
            </w:r>
          </w:p>
        </w:tc>
        <w:tc>
          <w:tcPr>
            <w:tcW w:w="584" w:type="dxa"/>
            <w:tcBorders>
              <w:bottom w:val="single" w:sz="4" w:space="0" w:color="000000"/>
            </w:tcBorders>
            <w:vAlign w:val="bottom"/>
          </w:tcPr>
          <w:p>
            <w:pPr>
              <w:pStyle w:val="Normal"/>
              <w:widowControl w:val="false"/>
              <w:jc w:val="center"/>
              <w:rPr/>
            </w:pPr>
            <w:r>
              <w:rPr>
                <w:rFonts w:ascii="Liberation Sans" w:hAnsi="Liberation Sans"/>
                <w:sz w:val="20"/>
                <w:szCs w:val="20"/>
              </w:rPr>
              <w:t>n</w:t>
            </w:r>
            <w:r>
              <w:rPr>
                <w:rFonts w:ascii="Liberation Sans" w:hAnsi="Liberation Sans"/>
                <w:sz w:val="20"/>
                <w:szCs w:val="20"/>
                <w:vertAlign w:val="subscript"/>
              </w:rPr>
              <w:t>snps</w:t>
            </w:r>
          </w:p>
        </w:tc>
        <w:tc>
          <w:tcPr>
            <w:tcW w:w="628" w:type="dxa"/>
            <w:tcBorders>
              <w:bottom w:val="single" w:sz="4" w:space="0" w:color="000000"/>
            </w:tcBorders>
            <w:vAlign w:val="bottom"/>
          </w:tcPr>
          <w:p>
            <w:pPr>
              <w:pStyle w:val="Normal"/>
              <w:widowControl w:val="false"/>
              <w:jc w:val="center"/>
              <w:rPr/>
            </w:pPr>
            <w:r>
              <w:rPr>
                <w:rFonts w:ascii="Liberation Sans" w:hAnsi="Liberation Sans"/>
                <w:sz w:val="20"/>
                <w:szCs w:val="20"/>
              </w:rPr>
              <w:t>N</w:t>
            </w:r>
            <w:r>
              <w:rPr>
                <w:rFonts w:ascii="Liberation Sans" w:hAnsi="Liberation Sans"/>
                <w:sz w:val="20"/>
                <w:szCs w:val="20"/>
                <w:vertAlign w:val="subscript"/>
              </w:rPr>
              <w:t>snps</w:t>
            </w:r>
          </w:p>
          <w:p>
            <w:pPr>
              <w:pStyle w:val="Normal"/>
              <w:widowControl w:val="false"/>
              <w:jc w:val="center"/>
              <w:rPr>
                <w:rFonts w:ascii="Liberation Sans" w:hAnsi="Liberation Sans"/>
                <w:sz w:val="20"/>
                <w:szCs w:val="20"/>
                <w:vertAlign w:val="subscript"/>
              </w:rPr>
            </w:pPr>
            <w:r>
              <w:rPr>
                <w:rFonts w:ascii="Liberation Sans" w:hAnsi="Liberation Sans"/>
                <w:sz w:val="20"/>
                <w:szCs w:val="20"/>
                <w:vertAlign w:val="subscript"/>
              </w:rPr>
              <w:t>overlap</w:t>
            </w:r>
          </w:p>
        </w:tc>
        <w:tc>
          <w:tcPr>
            <w:tcW w:w="750" w:type="dxa"/>
            <w:tcBorders>
              <w:bottom w:val="single" w:sz="4" w:space="0" w:color="000000"/>
            </w:tcBorders>
            <w:vAlign w:val="bottom"/>
          </w:tcPr>
          <w:p>
            <w:pPr>
              <w:pStyle w:val="Normal"/>
              <w:widowControl w:val="false"/>
              <w:jc w:val="center"/>
              <w:rPr/>
            </w:pPr>
            <w:r>
              <w:rPr>
                <w:rFonts w:ascii="Liberation Sans" w:hAnsi="Liberation Sans"/>
                <w:sz w:val="20"/>
                <w:szCs w:val="20"/>
              </w:rPr>
              <w:t>n</w:t>
            </w:r>
            <w:r>
              <w:rPr>
                <w:rFonts w:ascii="Liberation Sans" w:hAnsi="Liberation Sans"/>
                <w:sz w:val="20"/>
                <w:szCs w:val="20"/>
                <w:vertAlign w:val="subscript"/>
              </w:rPr>
              <w:t>carriers</w:t>
            </w:r>
          </w:p>
        </w:tc>
        <w:tc>
          <w:tcPr>
            <w:tcW w:w="820" w:type="dxa"/>
            <w:tcBorders>
              <w:bottom w:val="single" w:sz="4" w:space="0" w:color="000000"/>
            </w:tcBorders>
            <w:vAlign w:val="bottom"/>
          </w:tcPr>
          <w:p>
            <w:pPr>
              <w:pStyle w:val="Normal"/>
              <w:widowControl w:val="false"/>
              <w:jc w:val="center"/>
              <w:rPr>
                <w:rFonts w:ascii="Liberation Sans" w:hAnsi="Liberation Sans"/>
                <w:sz w:val="20"/>
                <w:szCs w:val="20"/>
              </w:rPr>
            </w:pPr>
            <w:r>
              <w:rPr>
                <w:rFonts w:ascii="Liberation Sans" w:hAnsi="Liberation Sans"/>
                <w:sz w:val="20"/>
                <w:szCs w:val="20"/>
              </w:rPr>
              <w:t>p</w:t>
            </w:r>
          </w:p>
        </w:tc>
      </w:tr>
      <w:tr>
        <w:trPr>
          <w:trHeight w:val="300" w:hRule="atLeast"/>
        </w:trPr>
        <w:tc>
          <w:tcPr>
            <w:tcW w:w="1782" w:type="dxa"/>
            <w:tcBorders/>
            <w:vAlign w:val="bottom"/>
          </w:tcPr>
          <w:p>
            <w:pPr>
              <w:pStyle w:val="Normal"/>
              <w:widowControl w:val="false"/>
              <w:rPr>
                <w:rFonts w:ascii="Liberation Sans" w:hAnsi="Liberation Sans"/>
                <w:sz w:val="20"/>
                <w:szCs w:val="20"/>
              </w:rPr>
            </w:pPr>
            <w:r>
              <w:rPr>
                <w:rFonts w:ascii="Liberation Sans" w:hAnsi="Liberation Sans"/>
                <w:sz w:val="20"/>
                <w:szCs w:val="20"/>
              </w:rPr>
              <w:t>Injury/</w:t>
            </w:r>
          </w:p>
          <w:p>
            <w:pPr>
              <w:pStyle w:val="Normal"/>
              <w:widowControl w:val="false"/>
              <w:rPr>
                <w:rFonts w:ascii="Liberation Sans" w:hAnsi="Liberation Sans"/>
                <w:sz w:val="20"/>
                <w:szCs w:val="20"/>
              </w:rPr>
            </w:pPr>
            <w:r>
              <w:rPr>
                <w:rFonts w:ascii="Liberation Sans" w:hAnsi="Liberation Sans"/>
                <w:sz w:val="20"/>
                <w:szCs w:val="20"/>
              </w:rPr>
              <w:t>Inflammation</w:t>
            </w:r>
          </w:p>
        </w:tc>
        <w:tc>
          <w:tcPr>
            <w:tcW w:w="1118" w:type="dxa"/>
            <w:tcBorders/>
            <w:vAlign w:val="bottom"/>
          </w:tcPr>
          <w:p>
            <w:pPr>
              <w:pStyle w:val="Normal"/>
              <w:widowControl w:val="false"/>
              <w:rPr>
                <w:rFonts w:ascii="Liberation Sans" w:hAnsi="Liberation Sans"/>
                <w:sz w:val="20"/>
                <w:szCs w:val="20"/>
              </w:rPr>
            </w:pPr>
            <w:r>
              <w:rPr>
                <w:rFonts w:ascii="Liberation Sans" w:hAnsi="Liberation Sans"/>
                <w:sz w:val="20"/>
                <w:szCs w:val="20"/>
              </w:rPr>
              <w:t>IFFO1</w:t>
            </w:r>
          </w:p>
        </w:tc>
        <w:tc>
          <w:tcPr>
            <w:tcW w:w="1115" w:type="dxa"/>
            <w:tcBorders/>
            <w:vAlign w:val="bottom"/>
          </w:tcPr>
          <w:p>
            <w:pPr>
              <w:pStyle w:val="Normal"/>
              <w:widowControl w:val="false"/>
              <w:rPr>
                <w:rFonts w:ascii="Liberation Sans" w:hAnsi="Liberation Sans"/>
                <w:sz w:val="20"/>
                <w:szCs w:val="20"/>
              </w:rPr>
            </w:pPr>
            <w:r>
              <w:rPr>
                <w:rFonts w:ascii="Liberation Sans" w:hAnsi="Liberation Sans"/>
                <w:sz w:val="20"/>
                <w:szCs w:val="20"/>
              </w:rPr>
              <w:t>protein</w:t>
            </w:r>
          </w:p>
        </w:tc>
        <w:tc>
          <w:tcPr>
            <w:tcW w:w="156"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69"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800</w:t>
            </w:r>
          </w:p>
        </w:tc>
        <w:tc>
          <w:tcPr>
            <w:tcW w:w="58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6</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30</w:t>
            </w:r>
          </w:p>
        </w:tc>
        <w:tc>
          <w:tcPr>
            <w:tcW w:w="62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1.00</w:t>
            </w:r>
          </w:p>
        </w:tc>
        <w:tc>
          <w:tcPr>
            <w:tcW w:w="203"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5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440</w:t>
            </w:r>
          </w:p>
        </w:tc>
        <w:tc>
          <w:tcPr>
            <w:tcW w:w="58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13</w:t>
            </w:r>
          </w:p>
        </w:tc>
        <w:tc>
          <w:tcPr>
            <w:tcW w:w="63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0.14</w:t>
            </w:r>
          </w:p>
        </w:tc>
        <w:tc>
          <w:tcPr>
            <w:tcW w:w="20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68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1240</w:t>
            </w:r>
          </w:p>
        </w:tc>
        <w:tc>
          <w:tcPr>
            <w:tcW w:w="58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w:t>
            </w:r>
          </w:p>
        </w:tc>
        <w:tc>
          <w:tcPr>
            <w:tcW w:w="62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43</w:t>
            </w:r>
          </w:p>
        </w:tc>
        <w:tc>
          <w:tcPr>
            <w:tcW w:w="82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0.74</w:t>
            </w:r>
          </w:p>
        </w:tc>
      </w:tr>
      <w:tr>
        <w:trPr>
          <w:trHeight w:val="300" w:hRule="atLeast"/>
        </w:trPr>
        <w:tc>
          <w:tcPr>
            <w:tcW w:w="1782"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1118" w:type="dxa"/>
            <w:tcBorders/>
            <w:vAlign w:val="bottom"/>
          </w:tcPr>
          <w:p>
            <w:pPr>
              <w:pStyle w:val="Normal"/>
              <w:widowControl w:val="false"/>
              <w:rPr>
                <w:rFonts w:ascii="Liberation Sans" w:hAnsi="Liberation Sans"/>
                <w:sz w:val="20"/>
                <w:szCs w:val="20"/>
              </w:rPr>
            </w:pPr>
            <w:r>
              <w:rPr>
                <w:rFonts w:ascii="Liberation Sans" w:hAnsi="Liberation Sans"/>
                <w:sz w:val="20"/>
                <w:szCs w:val="20"/>
              </w:rPr>
              <w:t>DTNB</w:t>
            </w:r>
          </w:p>
        </w:tc>
        <w:tc>
          <w:tcPr>
            <w:tcW w:w="1115" w:type="dxa"/>
            <w:tcBorders/>
            <w:vAlign w:val="bottom"/>
          </w:tcPr>
          <w:p>
            <w:pPr>
              <w:pStyle w:val="Normal"/>
              <w:widowControl w:val="false"/>
              <w:rPr>
                <w:rFonts w:ascii="Liberation Sans" w:hAnsi="Liberation Sans"/>
                <w:sz w:val="20"/>
                <w:szCs w:val="20"/>
              </w:rPr>
            </w:pPr>
            <w:r>
              <w:rPr>
                <w:rFonts w:ascii="Liberation Sans" w:hAnsi="Liberation Sans"/>
                <w:sz w:val="20"/>
                <w:szCs w:val="20"/>
              </w:rPr>
              <w:t>protein</w:t>
            </w:r>
          </w:p>
        </w:tc>
        <w:tc>
          <w:tcPr>
            <w:tcW w:w="156"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69"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800</w:t>
            </w:r>
          </w:p>
        </w:tc>
        <w:tc>
          <w:tcPr>
            <w:tcW w:w="58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20</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27</w:t>
            </w:r>
          </w:p>
        </w:tc>
        <w:tc>
          <w:tcPr>
            <w:tcW w:w="62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0.50</w:t>
            </w:r>
          </w:p>
        </w:tc>
        <w:tc>
          <w:tcPr>
            <w:tcW w:w="203"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5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440</w:t>
            </w:r>
          </w:p>
        </w:tc>
        <w:tc>
          <w:tcPr>
            <w:tcW w:w="58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w:t>
            </w:r>
          </w:p>
        </w:tc>
        <w:tc>
          <w:tcPr>
            <w:tcW w:w="63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0.05</w:t>
            </w:r>
          </w:p>
        </w:tc>
        <w:tc>
          <w:tcPr>
            <w:tcW w:w="20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68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1240</w:t>
            </w:r>
          </w:p>
        </w:tc>
        <w:tc>
          <w:tcPr>
            <w:tcW w:w="58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22</w:t>
            </w:r>
          </w:p>
        </w:tc>
        <w:tc>
          <w:tcPr>
            <w:tcW w:w="62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34</w:t>
            </w:r>
          </w:p>
        </w:tc>
        <w:tc>
          <w:tcPr>
            <w:tcW w:w="82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0.04</w:t>
            </w:r>
          </w:p>
        </w:tc>
      </w:tr>
      <w:tr>
        <w:trPr>
          <w:trHeight w:val="300" w:hRule="atLeast"/>
        </w:trPr>
        <w:tc>
          <w:tcPr>
            <w:tcW w:w="1782"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1118" w:type="dxa"/>
            <w:tcBorders/>
            <w:vAlign w:val="bottom"/>
          </w:tcPr>
          <w:p>
            <w:pPr>
              <w:pStyle w:val="Normal"/>
              <w:widowControl w:val="false"/>
              <w:rPr>
                <w:rFonts w:ascii="Liberation Sans" w:hAnsi="Liberation Sans"/>
                <w:sz w:val="20"/>
                <w:szCs w:val="20"/>
              </w:rPr>
            </w:pPr>
            <w:r>
              <w:rPr>
                <w:rFonts w:ascii="Liberation Sans" w:hAnsi="Liberation Sans"/>
                <w:sz w:val="20"/>
                <w:szCs w:val="20"/>
              </w:rPr>
              <w:t>NLRC3</w:t>
            </w:r>
          </w:p>
        </w:tc>
        <w:tc>
          <w:tcPr>
            <w:tcW w:w="1115" w:type="dxa"/>
            <w:tcBorders/>
            <w:vAlign w:val="bottom"/>
          </w:tcPr>
          <w:p>
            <w:pPr>
              <w:pStyle w:val="Normal"/>
              <w:widowControl w:val="false"/>
              <w:rPr>
                <w:rFonts w:ascii="Liberation Sans" w:hAnsi="Liberation Sans"/>
                <w:sz w:val="20"/>
                <w:szCs w:val="20"/>
              </w:rPr>
            </w:pPr>
            <w:r>
              <w:rPr>
                <w:rFonts w:ascii="Liberation Sans" w:hAnsi="Liberation Sans"/>
                <w:sz w:val="20"/>
                <w:szCs w:val="20"/>
              </w:rPr>
              <w:t>protein</w:t>
            </w:r>
          </w:p>
        </w:tc>
        <w:tc>
          <w:tcPr>
            <w:tcW w:w="156"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69"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800</w:t>
            </w:r>
          </w:p>
        </w:tc>
        <w:tc>
          <w:tcPr>
            <w:tcW w:w="58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43</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72</w:t>
            </w:r>
          </w:p>
        </w:tc>
        <w:tc>
          <w:tcPr>
            <w:tcW w:w="62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0.75</w:t>
            </w:r>
          </w:p>
        </w:tc>
        <w:tc>
          <w:tcPr>
            <w:tcW w:w="203"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5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440</w:t>
            </w:r>
          </w:p>
        </w:tc>
        <w:tc>
          <w:tcPr>
            <w:tcW w:w="58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23</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33</w:t>
            </w:r>
          </w:p>
        </w:tc>
        <w:tc>
          <w:tcPr>
            <w:tcW w:w="63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0.32</w:t>
            </w:r>
          </w:p>
        </w:tc>
        <w:tc>
          <w:tcPr>
            <w:tcW w:w="20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68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1240</w:t>
            </w:r>
          </w:p>
        </w:tc>
        <w:tc>
          <w:tcPr>
            <w:tcW w:w="58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59</w:t>
            </w:r>
          </w:p>
        </w:tc>
        <w:tc>
          <w:tcPr>
            <w:tcW w:w="62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106</w:t>
            </w:r>
          </w:p>
        </w:tc>
        <w:tc>
          <w:tcPr>
            <w:tcW w:w="82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0.49</w:t>
            </w:r>
          </w:p>
        </w:tc>
      </w:tr>
      <w:tr>
        <w:trPr>
          <w:trHeight w:val="300" w:hRule="atLeast"/>
        </w:trPr>
        <w:tc>
          <w:tcPr>
            <w:tcW w:w="1782"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1118" w:type="dxa"/>
            <w:tcBorders/>
            <w:vAlign w:val="bottom"/>
          </w:tcPr>
          <w:p>
            <w:pPr>
              <w:pStyle w:val="Normal"/>
              <w:widowControl w:val="false"/>
              <w:rPr>
                <w:rFonts w:ascii="Liberation Sans" w:hAnsi="Liberation Sans"/>
                <w:sz w:val="20"/>
                <w:szCs w:val="20"/>
              </w:rPr>
            </w:pPr>
            <w:r>
              <w:rPr>
                <w:rFonts w:ascii="Liberation Sans" w:hAnsi="Liberation Sans"/>
                <w:sz w:val="20"/>
                <w:szCs w:val="20"/>
              </w:rPr>
              <w:t>SLC22A10</w:t>
            </w:r>
          </w:p>
        </w:tc>
        <w:tc>
          <w:tcPr>
            <w:tcW w:w="1115" w:type="dxa"/>
            <w:tcBorders/>
            <w:vAlign w:val="bottom"/>
          </w:tcPr>
          <w:p>
            <w:pPr>
              <w:pStyle w:val="Normal"/>
              <w:widowControl w:val="false"/>
              <w:rPr>
                <w:rFonts w:ascii="Liberation Sans" w:hAnsi="Liberation Sans"/>
                <w:sz w:val="20"/>
                <w:szCs w:val="20"/>
              </w:rPr>
            </w:pPr>
            <w:r>
              <w:rPr>
                <w:rFonts w:ascii="Liberation Sans" w:hAnsi="Liberation Sans"/>
                <w:sz w:val="20"/>
                <w:szCs w:val="20"/>
              </w:rPr>
              <w:t>LoF</w:t>
            </w:r>
          </w:p>
        </w:tc>
        <w:tc>
          <w:tcPr>
            <w:tcW w:w="156"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69"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800</w:t>
            </w:r>
          </w:p>
        </w:tc>
        <w:tc>
          <w:tcPr>
            <w:tcW w:w="581"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4</w:t>
            </w:r>
          </w:p>
        </w:tc>
        <w:tc>
          <w:tcPr>
            <w:tcW w:w="750"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13</w:t>
            </w:r>
          </w:p>
        </w:tc>
        <w:tc>
          <w:tcPr>
            <w:tcW w:w="627"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0.32</w:t>
            </w:r>
          </w:p>
        </w:tc>
        <w:tc>
          <w:tcPr>
            <w:tcW w:w="203"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56"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440</w:t>
            </w:r>
          </w:p>
        </w:tc>
        <w:tc>
          <w:tcPr>
            <w:tcW w:w="581"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2</w:t>
            </w:r>
          </w:p>
        </w:tc>
        <w:tc>
          <w:tcPr>
            <w:tcW w:w="750"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5</w:t>
            </w:r>
          </w:p>
        </w:tc>
        <w:tc>
          <w:tcPr>
            <w:tcW w:w="630"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0.87</w:t>
            </w:r>
          </w:p>
        </w:tc>
        <w:tc>
          <w:tcPr>
            <w:tcW w:w="20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687"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1240</w:t>
            </w:r>
          </w:p>
        </w:tc>
        <w:tc>
          <w:tcPr>
            <w:tcW w:w="584"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5</w:t>
            </w:r>
          </w:p>
        </w:tc>
        <w:tc>
          <w:tcPr>
            <w:tcW w:w="628"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1</w:t>
            </w:r>
          </w:p>
        </w:tc>
        <w:tc>
          <w:tcPr>
            <w:tcW w:w="750"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18</w:t>
            </w:r>
          </w:p>
        </w:tc>
        <w:tc>
          <w:tcPr>
            <w:tcW w:w="820" w:type="dxa"/>
            <w:tcBorders/>
            <w:vAlign w:val="bottom"/>
          </w:tcPr>
          <w:p>
            <w:pPr>
              <w:pStyle w:val="TableContents"/>
              <w:widowControl w:val="false"/>
              <w:jc w:val="right"/>
              <w:rPr>
                <w:rFonts w:ascii="Liberation Sans" w:hAnsi="Liberation Sans"/>
                <w:sz w:val="20"/>
                <w:szCs w:val="20"/>
              </w:rPr>
            </w:pPr>
            <w:r>
              <w:rPr>
                <w:rFonts w:ascii="Liberation Sans" w:hAnsi="Liberation Sans"/>
                <w:sz w:val="20"/>
                <w:szCs w:val="20"/>
              </w:rPr>
              <w:t>0.72</w:t>
            </w:r>
          </w:p>
        </w:tc>
      </w:tr>
      <w:tr>
        <w:trPr>
          <w:trHeight w:val="300" w:hRule="atLeast"/>
        </w:trPr>
        <w:tc>
          <w:tcPr>
            <w:tcW w:w="1782" w:type="dxa"/>
            <w:tcBorders/>
            <w:vAlign w:val="bottom"/>
          </w:tcPr>
          <w:p>
            <w:pPr>
              <w:pStyle w:val="Normal"/>
              <w:widowControl w:val="false"/>
              <w:rPr>
                <w:rFonts w:ascii="Liberation Sans" w:hAnsi="Liberation Sans"/>
                <w:sz w:val="20"/>
                <w:szCs w:val="20"/>
              </w:rPr>
            </w:pPr>
            <w:r>
              <w:rPr>
                <w:rFonts w:ascii="Liberation Sans" w:hAnsi="Liberation Sans"/>
                <w:sz w:val="20"/>
                <w:szCs w:val="20"/>
              </w:rPr>
              <w:t>Non-AD Synaptic functioning</w:t>
            </w:r>
          </w:p>
        </w:tc>
        <w:tc>
          <w:tcPr>
            <w:tcW w:w="1118" w:type="dxa"/>
            <w:tcBorders/>
            <w:vAlign w:val="bottom"/>
          </w:tcPr>
          <w:p>
            <w:pPr>
              <w:pStyle w:val="Normal"/>
              <w:widowControl w:val="false"/>
              <w:rPr>
                <w:rFonts w:ascii="Liberation Sans" w:hAnsi="Liberation Sans"/>
                <w:sz w:val="20"/>
                <w:szCs w:val="20"/>
              </w:rPr>
            </w:pPr>
            <w:r>
              <w:rPr>
                <w:rFonts w:ascii="Liberation Sans" w:hAnsi="Liberation Sans"/>
                <w:sz w:val="20"/>
                <w:szCs w:val="20"/>
              </w:rPr>
              <w:t>GABBR2</w:t>
            </w:r>
          </w:p>
        </w:tc>
        <w:tc>
          <w:tcPr>
            <w:tcW w:w="1115" w:type="dxa"/>
            <w:tcBorders/>
            <w:vAlign w:val="bottom"/>
          </w:tcPr>
          <w:p>
            <w:pPr>
              <w:pStyle w:val="Normal"/>
              <w:widowControl w:val="false"/>
              <w:rPr>
                <w:rFonts w:ascii="Liberation Sans" w:hAnsi="Liberation Sans"/>
                <w:sz w:val="20"/>
                <w:szCs w:val="20"/>
              </w:rPr>
            </w:pPr>
            <w:r>
              <w:rPr>
                <w:rFonts w:ascii="Liberation Sans" w:hAnsi="Liberation Sans"/>
                <w:sz w:val="20"/>
                <w:szCs w:val="20"/>
              </w:rPr>
              <w:t>protein</w:t>
            </w:r>
          </w:p>
        </w:tc>
        <w:tc>
          <w:tcPr>
            <w:tcW w:w="156"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69"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800</w:t>
            </w:r>
          </w:p>
        </w:tc>
        <w:tc>
          <w:tcPr>
            <w:tcW w:w="58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w:t>
            </w:r>
          </w:p>
        </w:tc>
        <w:tc>
          <w:tcPr>
            <w:tcW w:w="62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0.83</w:t>
            </w:r>
          </w:p>
        </w:tc>
        <w:tc>
          <w:tcPr>
            <w:tcW w:w="203"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5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440</w:t>
            </w:r>
          </w:p>
        </w:tc>
        <w:tc>
          <w:tcPr>
            <w:tcW w:w="58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w:t>
            </w:r>
          </w:p>
        </w:tc>
        <w:tc>
          <w:tcPr>
            <w:tcW w:w="63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0.27</w:t>
            </w:r>
          </w:p>
        </w:tc>
        <w:tc>
          <w:tcPr>
            <w:tcW w:w="200" w:type="dxa"/>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68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1240</w:t>
            </w:r>
          </w:p>
        </w:tc>
        <w:tc>
          <w:tcPr>
            <w:tcW w:w="58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w:t>
            </w:r>
          </w:p>
        </w:tc>
        <w:tc>
          <w:tcPr>
            <w:tcW w:w="62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w:t>
            </w:r>
          </w:p>
        </w:tc>
        <w:tc>
          <w:tcPr>
            <w:tcW w:w="75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w:t>
            </w:r>
          </w:p>
        </w:tc>
        <w:tc>
          <w:tcPr>
            <w:tcW w:w="820"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0.51</w:t>
            </w:r>
          </w:p>
        </w:tc>
      </w:tr>
      <w:tr>
        <w:trPr>
          <w:trHeight w:val="300" w:hRule="atLeast"/>
        </w:trPr>
        <w:tc>
          <w:tcPr>
            <w:tcW w:w="1782"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1118"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t>CASZ1</w:t>
            </w:r>
          </w:p>
        </w:tc>
        <w:tc>
          <w:tcPr>
            <w:tcW w:w="1115"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t>protein</w:t>
            </w:r>
          </w:p>
        </w:tc>
        <w:tc>
          <w:tcPr>
            <w:tcW w:w="156"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69"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800</w:t>
            </w:r>
          </w:p>
        </w:tc>
        <w:tc>
          <w:tcPr>
            <w:tcW w:w="581"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43</w:t>
            </w:r>
          </w:p>
        </w:tc>
        <w:tc>
          <w:tcPr>
            <w:tcW w:w="750"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86</w:t>
            </w:r>
          </w:p>
        </w:tc>
        <w:tc>
          <w:tcPr>
            <w:tcW w:w="627"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0.38</w:t>
            </w:r>
          </w:p>
        </w:tc>
        <w:tc>
          <w:tcPr>
            <w:tcW w:w="203" w:type="dxa"/>
            <w:tcBorders>
              <w:bottom w:val="single" w:sz="4" w:space="0" w:color="000000"/>
            </w:tcBorders>
            <w:vAlign w:val="bottom"/>
          </w:tcPr>
          <w:p>
            <w:pPr>
              <w:pStyle w:val="Normal"/>
              <w:widowControl w:val="false"/>
              <w:rPr>
                <w:rFonts w:ascii="Liberation Sans" w:hAnsi="Liberation Sans"/>
                <w:sz w:val="20"/>
                <w:szCs w:val="20"/>
              </w:rPr>
            </w:pPr>
            <w:r>
              <w:rPr>
                <w:rFonts w:ascii="Liberation Sans" w:hAnsi="Liberation Sans"/>
                <w:sz w:val="20"/>
                <w:szCs w:val="20"/>
              </w:rPr>
            </w:r>
          </w:p>
        </w:tc>
        <w:tc>
          <w:tcPr>
            <w:tcW w:w="556"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440</w:t>
            </w:r>
          </w:p>
        </w:tc>
        <w:tc>
          <w:tcPr>
            <w:tcW w:w="581"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21</w:t>
            </w:r>
          </w:p>
        </w:tc>
        <w:tc>
          <w:tcPr>
            <w:tcW w:w="750"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34</w:t>
            </w:r>
          </w:p>
        </w:tc>
        <w:tc>
          <w:tcPr>
            <w:tcW w:w="630"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0.21</w:t>
            </w:r>
          </w:p>
        </w:tc>
        <w:tc>
          <w:tcPr>
            <w:tcW w:w="200"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r>
          </w:p>
        </w:tc>
        <w:tc>
          <w:tcPr>
            <w:tcW w:w="687"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1240</w:t>
            </w:r>
          </w:p>
        </w:tc>
        <w:tc>
          <w:tcPr>
            <w:tcW w:w="584"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57</w:t>
            </w:r>
          </w:p>
        </w:tc>
        <w:tc>
          <w:tcPr>
            <w:tcW w:w="628"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w:t>
            </w:r>
          </w:p>
        </w:tc>
        <w:tc>
          <w:tcPr>
            <w:tcW w:w="750"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120</w:t>
            </w:r>
          </w:p>
        </w:tc>
        <w:tc>
          <w:tcPr>
            <w:tcW w:w="820"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0.53</w:t>
            </w:r>
          </w:p>
        </w:tc>
      </w:tr>
    </w:tbl>
    <w:p>
      <w:pPr>
        <w:pStyle w:val="Normal"/>
        <w:rPr/>
      </w:pPr>
      <w:r>
        <w:rPr>
          <w:rFonts w:ascii="Liberation Sans" w:hAnsi="Liberation Sans"/>
          <w:b/>
          <w:bCs/>
          <w:sz w:val="20"/>
          <w:szCs w:val="20"/>
        </w:rPr>
        <w:t xml:space="preserve">Table S3: Associations between exome-wide significant genes and MMSE. </w:t>
      </w:r>
      <w:r>
        <w:rPr>
          <w:rFonts w:ascii="Liberation Sans" w:hAnsi="Liberation Sans"/>
          <w:sz w:val="20"/>
          <w:szCs w:val="20"/>
        </w:rPr>
        <w:t>This table shows whether evidence of association was found between MMSE and any of the genes identified to show exome-wide significant association with a biomarker PC.</w:t>
      </w:r>
    </w:p>
    <w:p>
      <w:pPr>
        <w:pStyle w:val="Normal"/>
        <w:rPr/>
      </w:pPr>
      <w:r>
        <w:rPr>
          <w:rFonts w:ascii="Liberation Sans" w:hAnsi="Liberation Sans"/>
          <w:b/>
          <w:bCs/>
          <w:sz w:val="20"/>
          <w:szCs w:val="20"/>
        </w:rPr>
        <w:t>Model</w:t>
      </w:r>
      <w:r>
        <w:rPr>
          <w:rFonts w:ascii="Liberation Sans" w:hAnsi="Liberation Sans"/>
          <w:sz w:val="20"/>
          <w:szCs w:val="20"/>
        </w:rPr>
        <w:t xml:space="preserve"> Indicator whether variants were restricted to protein-coding (Protein) or loss-of-function (LoF) variants</w:t>
      </w:r>
    </w:p>
    <w:p>
      <w:pPr>
        <w:pStyle w:val="Normal"/>
        <w:rPr/>
      </w:pPr>
      <w:r>
        <w:rPr>
          <w:rFonts w:ascii="Liberation Sans" w:hAnsi="Liberation Sans"/>
          <w:b/>
          <w:bCs/>
          <w:sz w:val="20"/>
          <w:szCs w:val="20"/>
        </w:rPr>
        <w:t>n</w:t>
      </w:r>
      <w:r>
        <w:rPr>
          <w:rFonts w:ascii="Liberation Sans" w:hAnsi="Liberation Sans"/>
          <w:sz w:val="20"/>
          <w:szCs w:val="20"/>
        </w:rPr>
        <w:t xml:space="preserve"> Sample size </w:t>
      </w:r>
    </w:p>
    <w:p>
      <w:pPr>
        <w:pStyle w:val="Normal"/>
        <w:rPr/>
      </w:pPr>
      <w:r>
        <w:rPr>
          <w:rFonts w:ascii="Liberation Sans" w:hAnsi="Liberation Sans"/>
          <w:b/>
          <w:bCs/>
          <w:sz w:val="20"/>
          <w:szCs w:val="20"/>
        </w:rPr>
        <w:t>n</w:t>
      </w:r>
      <w:r>
        <w:rPr>
          <w:rFonts w:ascii="Liberation Sans" w:hAnsi="Liberation Sans"/>
          <w:b/>
          <w:bCs/>
          <w:sz w:val="20"/>
          <w:szCs w:val="20"/>
          <w:vertAlign w:val="subscript"/>
        </w:rPr>
        <w:t>snps</w:t>
      </w:r>
      <w:r>
        <w:rPr>
          <w:rFonts w:ascii="Liberation Sans" w:hAnsi="Liberation Sans"/>
          <w:sz w:val="20"/>
          <w:szCs w:val="20"/>
          <w:vertAlign w:val="subscript"/>
        </w:rPr>
        <w:t xml:space="preserve"> </w:t>
      </w:r>
      <w:r>
        <w:rPr>
          <w:rFonts w:ascii="Liberation Sans" w:hAnsi="Liberation Sans"/>
          <w:sz w:val="20"/>
          <w:szCs w:val="20"/>
        </w:rPr>
        <w:t>Number of variants included</w:t>
      </w:r>
    </w:p>
    <w:p>
      <w:pPr>
        <w:pStyle w:val="Normal"/>
        <w:rPr/>
      </w:pPr>
      <w:r>
        <w:rPr>
          <w:rFonts w:ascii="Liberation Sans" w:hAnsi="Liberation Sans"/>
          <w:b/>
          <w:bCs/>
          <w:sz w:val="20"/>
          <w:szCs w:val="20"/>
        </w:rPr>
        <w:t>n</w:t>
      </w:r>
      <w:r>
        <w:rPr>
          <w:rFonts w:ascii="Liberation Sans" w:hAnsi="Liberation Sans"/>
          <w:b/>
          <w:bCs/>
          <w:sz w:val="20"/>
          <w:szCs w:val="20"/>
          <w:vertAlign w:val="subscript"/>
        </w:rPr>
        <w:t>carriers</w:t>
      </w:r>
      <w:r>
        <w:rPr>
          <w:rFonts w:ascii="Liberation Sans" w:hAnsi="Liberation Sans"/>
          <w:sz w:val="20"/>
          <w:szCs w:val="20"/>
        </w:rPr>
        <w:t xml:space="preserve"> Number of participants with at least one rare variant in the gene</w:t>
      </w:r>
    </w:p>
    <w:p>
      <w:pPr>
        <w:pStyle w:val="Normal"/>
        <w:rPr/>
      </w:pPr>
      <w:r>
        <w:rPr>
          <w:rFonts w:ascii="Liberation Sans" w:hAnsi="Liberation Sans"/>
          <w:b/>
          <w:bCs/>
          <w:sz w:val="20"/>
          <w:szCs w:val="20"/>
        </w:rPr>
        <w:t>p</w:t>
      </w:r>
      <w:r>
        <w:rPr>
          <w:rFonts w:ascii="Liberation Sans" w:hAnsi="Liberation Sans"/>
          <w:sz w:val="20"/>
          <w:szCs w:val="20"/>
        </w:rPr>
        <w:t xml:space="preserve"> p-value of SKAT-O test</w:t>
      </w:r>
    </w:p>
    <w:p>
      <w:pPr>
        <w:pStyle w:val="Normal"/>
        <w:rPr/>
      </w:pPr>
      <w:r>
        <w:rPr>
          <w:rFonts w:ascii="Liberation Sans" w:hAnsi="Liberation Sans"/>
          <w:b/>
          <w:bCs/>
          <w:sz w:val="20"/>
          <w:szCs w:val="20"/>
        </w:rPr>
        <w:t>n</w:t>
      </w:r>
      <w:r>
        <w:rPr>
          <w:rFonts w:ascii="Liberation Sans" w:hAnsi="Liberation Sans"/>
          <w:b/>
          <w:bCs/>
          <w:sz w:val="20"/>
          <w:szCs w:val="20"/>
          <w:vertAlign w:val="subscript"/>
        </w:rPr>
        <w:t xml:space="preserve">snp overlap </w:t>
      </w:r>
      <w:r>
        <w:rPr>
          <w:rFonts w:ascii="Liberation Sans" w:hAnsi="Liberation Sans"/>
          <w:sz w:val="20"/>
          <w:szCs w:val="20"/>
        </w:rPr>
        <w:t>Number of variants present in both ADNI and EMIF</w:t>
      </w:r>
      <w:r>
        <w:br w:type="page"/>
      </w:r>
    </w:p>
    <w:p>
      <w:pPr>
        <w:pStyle w:val="Heading2"/>
        <w:numPr>
          <w:ilvl w:val="1"/>
          <w:numId w:val="2"/>
        </w:numPr>
        <w:rPr/>
      </w:pPr>
      <w:r>
        <w:rPr/>
        <w:t xml:space="preserve">Table S4: </w:t>
      </w:r>
      <w:r>
        <w:rPr>
          <w:sz w:val="36"/>
          <w:szCs w:val="36"/>
        </w:rPr>
        <w:t>Exome-wide significant genes in European ancestry subsample</w:t>
      </w:r>
    </w:p>
    <w:tbl>
      <w:tblPr>
        <w:tblW w:w="12705" w:type="dxa"/>
        <w:jc w:val="left"/>
        <w:tblInd w:w="-459" w:type="dxa"/>
        <w:tblLayout w:type="fixed"/>
        <w:tblCellMar>
          <w:top w:w="55" w:type="dxa"/>
          <w:left w:w="55" w:type="dxa"/>
          <w:bottom w:w="55" w:type="dxa"/>
          <w:right w:w="55" w:type="dxa"/>
        </w:tblCellMar>
        <w:tblLook w:val="04a0" w:noHBand="0" w:noVBand="1" w:firstColumn="1" w:lastRow="0" w:lastColumn="0" w:firstRow="1"/>
      </w:tblPr>
      <w:tblGrid>
        <w:gridCol w:w="2609"/>
        <w:gridCol w:w="1165"/>
        <w:gridCol w:w="727"/>
        <w:gridCol w:w="137"/>
        <w:gridCol w:w="474"/>
        <w:gridCol w:w="592"/>
        <w:gridCol w:w="521"/>
        <w:gridCol w:w="826"/>
        <w:gridCol w:w="161"/>
        <w:gridCol w:w="465"/>
        <w:gridCol w:w="578"/>
        <w:gridCol w:w="534"/>
        <w:gridCol w:w="837"/>
        <w:gridCol w:w="149"/>
        <w:gridCol w:w="465"/>
        <w:gridCol w:w="485"/>
        <w:gridCol w:w="81"/>
        <w:gridCol w:w="567"/>
        <w:gridCol w:w="503"/>
        <w:gridCol w:w="828"/>
      </w:tblGrid>
      <w:tr>
        <w:trPr>
          <w:trHeight w:val="300" w:hRule="atLeast"/>
        </w:trPr>
        <w:tc>
          <w:tcPr>
            <w:tcW w:w="2609"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892" w:type="dxa"/>
            <w:gridSpan w:val="2"/>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37"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413" w:type="dxa"/>
            <w:gridSpan w:val="4"/>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ADNI</w:t>
            </w:r>
          </w:p>
        </w:tc>
        <w:tc>
          <w:tcPr>
            <w:tcW w:w="161"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414" w:type="dxa"/>
            <w:gridSpan w:val="4"/>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EMIF</w:t>
            </w:r>
          </w:p>
        </w:tc>
        <w:tc>
          <w:tcPr>
            <w:tcW w:w="149"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929" w:type="dxa"/>
            <w:gridSpan w:val="6"/>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Mega</w:t>
            </w:r>
          </w:p>
        </w:tc>
      </w:tr>
      <w:tr>
        <w:trPr>
          <w:trHeight w:val="300" w:hRule="atLeast"/>
        </w:trPr>
        <w:tc>
          <w:tcPr>
            <w:tcW w:w="260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Outcome</w:t>
            </w:r>
          </w:p>
        </w:tc>
        <w:tc>
          <w:tcPr>
            <w:tcW w:w="1165"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Gene</w:t>
            </w:r>
          </w:p>
        </w:tc>
        <w:tc>
          <w:tcPr>
            <w:tcW w:w="727"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Model</w:t>
            </w:r>
          </w:p>
        </w:tc>
        <w:tc>
          <w:tcPr>
            <w:tcW w:w="137"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92"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21"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26"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c>
          <w:tcPr>
            <w:tcW w:w="161"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78"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34"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37"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c>
          <w:tcPr>
            <w:tcW w:w="14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66" w:type="dxa"/>
            <w:gridSpan w:val="2"/>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67"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p>
            <w:pPr>
              <w:pStyle w:val="Normal"/>
              <w:widowControl w:val="false"/>
              <w:numPr>
                <w:ilvl w:val="0"/>
                <w:numId w:val="2"/>
              </w:numPr>
              <w:jc w:val="center"/>
              <w:rPr>
                <w:rFonts w:ascii="Liberation Sans" w:hAnsi="Liberation Sans"/>
                <w:sz w:val="20"/>
                <w:szCs w:val="20"/>
                <w:vertAlign w:val="subscript"/>
              </w:rPr>
            </w:pPr>
            <w:r>
              <w:rPr>
                <w:rFonts w:ascii="Liberation Sans" w:hAnsi="Liberation Sans"/>
                <w:sz w:val="20"/>
                <w:szCs w:val="20"/>
                <w:vertAlign w:val="subscript"/>
              </w:rPr>
              <w:t>overlap</w:t>
            </w:r>
          </w:p>
        </w:tc>
        <w:tc>
          <w:tcPr>
            <w:tcW w:w="503"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28"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r>
      <w:tr>
        <w:trPr>
          <w:trHeight w:val="300" w:hRule="atLeast"/>
        </w:trPr>
        <w:tc>
          <w:tcPr>
            <w:tcW w:w="12704" w:type="dxa"/>
            <w:gridSpan w:val="20"/>
            <w:tcBorders>
              <w:top w:val="single" w:sz="4" w:space="0" w:color="000000"/>
            </w:tcBorders>
            <w:vAlign w:val="bottom"/>
          </w:tcPr>
          <w:p>
            <w:pPr>
              <w:pStyle w:val="Normal"/>
              <w:widowControl w:val="false"/>
              <w:numPr>
                <w:ilvl w:val="0"/>
                <w:numId w:val="2"/>
              </w:numPr>
              <w:rPr>
                <w:rFonts w:ascii="Liberation Sans" w:hAnsi="Liberation Sans"/>
                <w:i/>
                <w:i/>
                <w:iCs/>
                <w:sz w:val="20"/>
                <w:szCs w:val="20"/>
              </w:rPr>
            </w:pPr>
            <w:r>
              <w:rPr>
                <w:rFonts w:ascii="Liberation Sans" w:hAnsi="Liberation Sans"/>
                <w:i/>
                <w:iCs/>
                <w:sz w:val="20"/>
                <w:szCs w:val="20"/>
              </w:rPr>
              <w:t>Adjusted for sex, age and ancestry</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Tau pathology/Degeneration</w:t>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7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3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48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648" w:type="dxa"/>
            <w:gridSpan w:val="2"/>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Injury/Inflammation</w:t>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IFFO1</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protein</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6</w:t>
            </w:r>
          </w:p>
        </w:tc>
        <w:tc>
          <w:tcPr>
            <w:tcW w:w="5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82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5.6E-01</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53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9</w:t>
            </w:r>
          </w:p>
        </w:tc>
        <w:tc>
          <w:tcPr>
            <w:tcW w:w="83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2.0E-06</w:t>
            </w:r>
          </w:p>
        </w:tc>
        <w:tc>
          <w:tcPr>
            <w:tcW w:w="14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474</w:t>
            </w:r>
          </w:p>
        </w:tc>
        <w:tc>
          <w:tcPr>
            <w:tcW w:w="48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648"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82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7.6E-07</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DTNB</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protein</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20</w:t>
            </w:r>
          </w:p>
        </w:tc>
        <w:tc>
          <w:tcPr>
            <w:tcW w:w="5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82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6.0E-01</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53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w:t>
            </w:r>
          </w:p>
        </w:tc>
        <w:tc>
          <w:tcPr>
            <w:tcW w:w="83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9.1E-04</w:t>
            </w:r>
          </w:p>
        </w:tc>
        <w:tc>
          <w:tcPr>
            <w:tcW w:w="14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474</w:t>
            </w:r>
          </w:p>
        </w:tc>
        <w:tc>
          <w:tcPr>
            <w:tcW w:w="48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22</w:t>
            </w:r>
          </w:p>
        </w:tc>
        <w:tc>
          <w:tcPr>
            <w:tcW w:w="648"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8.3E-07</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Aβ Pathology</w:t>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7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3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48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648" w:type="dxa"/>
            <w:gridSpan w:val="2"/>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Inflammation</w:t>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CLCNKB</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LoF</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121</w:t>
            </w:r>
          </w:p>
        </w:tc>
        <w:tc>
          <w:tcPr>
            <w:tcW w:w="59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2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4.8E-04</w:t>
            </w:r>
          </w:p>
        </w:tc>
        <w:tc>
          <w:tcPr>
            <w:tcW w:w="161" w:type="dxa"/>
            <w:tcBorders/>
            <w:vAlign w:val="bottom"/>
          </w:tcPr>
          <w:p>
            <w:pPr>
              <w:pStyle w:val="Normal"/>
              <w:widowControl w:val="false"/>
              <w:numPr>
                <w:ilvl w:val="1"/>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3.8E-02</w:t>
            </w:r>
          </w:p>
        </w:tc>
        <w:tc>
          <w:tcPr>
            <w:tcW w:w="14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474</w:t>
            </w:r>
          </w:p>
        </w:tc>
        <w:tc>
          <w:tcPr>
            <w:tcW w:w="48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648"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2.2E-04</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Synaptic functioning</w:t>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CASZ1</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protein</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43</w:t>
            </w:r>
          </w:p>
        </w:tc>
        <w:tc>
          <w:tcPr>
            <w:tcW w:w="5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11</w:t>
            </w:r>
          </w:p>
        </w:tc>
        <w:tc>
          <w:tcPr>
            <w:tcW w:w="82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4.2E-01</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53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2.2E-04</w:t>
            </w:r>
          </w:p>
        </w:tc>
        <w:tc>
          <w:tcPr>
            <w:tcW w:w="14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474</w:t>
            </w:r>
          </w:p>
        </w:tc>
        <w:tc>
          <w:tcPr>
            <w:tcW w:w="48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57</w:t>
            </w:r>
          </w:p>
        </w:tc>
        <w:tc>
          <w:tcPr>
            <w:tcW w:w="648"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40</w:t>
            </w:r>
          </w:p>
        </w:tc>
        <w:tc>
          <w:tcPr>
            <w:tcW w:w="82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1.9E-06</w:t>
            </w:r>
          </w:p>
        </w:tc>
      </w:tr>
      <w:tr>
        <w:trPr>
          <w:trHeight w:val="300" w:hRule="atLeast"/>
        </w:trPr>
        <w:tc>
          <w:tcPr>
            <w:tcW w:w="260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165"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GABBR2</w:t>
            </w:r>
          </w:p>
        </w:tc>
        <w:tc>
          <w:tcPr>
            <w:tcW w:w="727"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protein</w:t>
            </w:r>
          </w:p>
        </w:tc>
        <w:tc>
          <w:tcPr>
            <w:tcW w:w="137" w:type="dxa"/>
            <w:tcBorders>
              <w:bottom w:val="single" w:sz="4" w:space="0" w:color="000000"/>
            </w:tcBorders>
            <w:vAlign w:val="bottom"/>
          </w:tcPr>
          <w:p>
            <w:pPr>
              <w:pStyle w:val="Normal"/>
              <w:widowControl w:val="false"/>
              <w:numPr>
                <w:ilvl w:val="1"/>
                <w:numId w:val="2"/>
              </w:numPr>
              <w:rPr>
                <w:rFonts w:ascii="Liberation Sans" w:hAnsi="Liberation Sans"/>
                <w:sz w:val="20"/>
                <w:szCs w:val="20"/>
              </w:rPr>
            </w:pPr>
            <w:r>
              <w:rPr>
                <w:rFonts w:ascii="Liberation Sans" w:hAnsi="Liberation Sans"/>
                <w:sz w:val="20"/>
                <w:szCs w:val="20"/>
              </w:rPr>
            </w:r>
          </w:p>
        </w:tc>
        <w:tc>
          <w:tcPr>
            <w:tcW w:w="474"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w:t>
            </w:r>
          </w:p>
        </w:tc>
        <w:tc>
          <w:tcPr>
            <w:tcW w:w="521"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826"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5.4E-01</w:t>
            </w:r>
          </w:p>
        </w:tc>
        <w:tc>
          <w:tcPr>
            <w:tcW w:w="161" w:type="dxa"/>
            <w:tcBorders>
              <w:bottom w:val="single" w:sz="4" w:space="0" w:color="000000"/>
            </w:tcBorders>
            <w:vAlign w:val="bottom"/>
          </w:tcPr>
          <w:p>
            <w:pPr>
              <w:pStyle w:val="Normal"/>
              <w:widowControl w:val="false"/>
              <w:numPr>
                <w:ilvl w:val="3"/>
                <w:numId w:val="2"/>
              </w:numPr>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w:t>
            </w:r>
          </w:p>
        </w:tc>
        <w:tc>
          <w:tcPr>
            <w:tcW w:w="534"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837"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4.5E-06</w:t>
            </w:r>
          </w:p>
        </w:tc>
        <w:tc>
          <w:tcPr>
            <w:tcW w:w="149" w:type="dxa"/>
            <w:tcBorders>
              <w:bottom w:val="single" w:sz="4" w:space="0" w:color="000000"/>
            </w:tcBorders>
            <w:vAlign w:val="bottom"/>
          </w:tcPr>
          <w:p>
            <w:pPr>
              <w:pStyle w:val="Normal"/>
              <w:widowControl w:val="false"/>
              <w:numPr>
                <w:ilvl w:val="2"/>
                <w:numId w:val="2"/>
              </w:numPr>
              <w:jc w:val="right"/>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474</w:t>
            </w:r>
          </w:p>
        </w:tc>
        <w:tc>
          <w:tcPr>
            <w:tcW w:w="48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648" w:type="dxa"/>
            <w:gridSpan w:val="2"/>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4.7E-06</w:t>
            </w:r>
          </w:p>
        </w:tc>
      </w:tr>
      <w:tr>
        <w:trPr>
          <w:trHeight w:val="300" w:hRule="atLeast"/>
        </w:trPr>
        <w:tc>
          <w:tcPr>
            <w:tcW w:w="12704" w:type="dxa"/>
            <w:gridSpan w:val="20"/>
            <w:tcBorders/>
            <w:vAlign w:val="bottom"/>
          </w:tcPr>
          <w:p>
            <w:pPr>
              <w:pStyle w:val="Normal"/>
              <w:widowControl w:val="false"/>
              <w:numPr>
                <w:ilvl w:val="0"/>
                <w:numId w:val="2"/>
              </w:numPr>
              <w:rPr>
                <w:rFonts w:ascii="Liberation Sans" w:hAnsi="Liberation Sans"/>
                <w:i/>
                <w:i/>
                <w:iCs/>
                <w:sz w:val="20"/>
                <w:szCs w:val="20"/>
              </w:rPr>
            </w:pPr>
            <w:r>
              <w:rPr>
                <w:rFonts w:ascii="Liberation Sans" w:hAnsi="Liberation Sans"/>
                <w:i/>
                <w:iCs/>
                <w:sz w:val="20"/>
                <w:szCs w:val="20"/>
              </w:rPr>
              <w:t>Adjusted for sex, age, ancestry and diagnosis</w:t>
            </w:r>
          </w:p>
        </w:tc>
      </w:tr>
      <w:tr>
        <w:trPr>
          <w:trHeight w:val="300" w:hRule="atLeast"/>
        </w:trPr>
        <w:tc>
          <w:tcPr>
            <w:tcW w:w="2609"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Tau pathology/Degeneration</w:t>
            </w:r>
          </w:p>
        </w:tc>
        <w:tc>
          <w:tcPr>
            <w:tcW w:w="1165"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727"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37"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2"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1"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6"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1"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78"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34"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9"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485"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648" w:type="dxa"/>
            <w:gridSpan w:val="2"/>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8"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Injury/Inflammation</w:t>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NLRC3</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protein</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43</w:t>
            </w:r>
          </w:p>
        </w:tc>
        <w:tc>
          <w:tcPr>
            <w:tcW w:w="5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9</w:t>
            </w:r>
          </w:p>
        </w:tc>
        <w:tc>
          <w:tcPr>
            <w:tcW w:w="82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2.2E-01</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24</w:t>
            </w:r>
          </w:p>
        </w:tc>
        <w:tc>
          <w:tcPr>
            <w:tcW w:w="53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25</w:t>
            </w:r>
          </w:p>
        </w:tc>
        <w:tc>
          <w:tcPr>
            <w:tcW w:w="83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1.2E-05</w:t>
            </w:r>
          </w:p>
        </w:tc>
        <w:tc>
          <w:tcPr>
            <w:tcW w:w="14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474</w:t>
            </w:r>
          </w:p>
        </w:tc>
        <w:tc>
          <w:tcPr>
            <w:tcW w:w="48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60</w:t>
            </w:r>
          </w:p>
        </w:tc>
        <w:tc>
          <w:tcPr>
            <w:tcW w:w="648" w:type="dxa"/>
            <w:gridSpan w:val="2"/>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w:t>
            </w:r>
          </w:p>
        </w:tc>
        <w:tc>
          <w:tcPr>
            <w:tcW w:w="50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34</w:t>
            </w:r>
          </w:p>
        </w:tc>
        <w:tc>
          <w:tcPr>
            <w:tcW w:w="82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1.9E-06</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IFFO1</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protein</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6</w:t>
            </w:r>
          </w:p>
        </w:tc>
        <w:tc>
          <w:tcPr>
            <w:tcW w:w="5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82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7.4E-01</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53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9</w:t>
            </w:r>
          </w:p>
        </w:tc>
        <w:tc>
          <w:tcPr>
            <w:tcW w:w="83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9.2E-06</w:t>
            </w:r>
          </w:p>
        </w:tc>
        <w:tc>
          <w:tcPr>
            <w:tcW w:w="14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474</w:t>
            </w:r>
          </w:p>
        </w:tc>
        <w:tc>
          <w:tcPr>
            <w:tcW w:w="48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8</w:t>
            </w:r>
          </w:p>
        </w:tc>
        <w:tc>
          <w:tcPr>
            <w:tcW w:w="648" w:type="dxa"/>
            <w:gridSpan w:val="2"/>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13</w:t>
            </w:r>
          </w:p>
        </w:tc>
        <w:tc>
          <w:tcPr>
            <w:tcW w:w="82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2.5E-06</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DTNB</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protein</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20</w:t>
            </w:r>
          </w:p>
        </w:tc>
        <w:tc>
          <w:tcPr>
            <w:tcW w:w="5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82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4.5E-01</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53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w:t>
            </w:r>
          </w:p>
        </w:tc>
        <w:tc>
          <w:tcPr>
            <w:tcW w:w="83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1.4E-03</w:t>
            </w:r>
          </w:p>
        </w:tc>
        <w:tc>
          <w:tcPr>
            <w:tcW w:w="14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474</w:t>
            </w:r>
          </w:p>
        </w:tc>
        <w:tc>
          <w:tcPr>
            <w:tcW w:w="48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22</w:t>
            </w:r>
          </w:p>
        </w:tc>
        <w:tc>
          <w:tcPr>
            <w:tcW w:w="648" w:type="dxa"/>
            <w:gridSpan w:val="2"/>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9</w:t>
            </w:r>
          </w:p>
        </w:tc>
        <w:tc>
          <w:tcPr>
            <w:tcW w:w="82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2.6E-06</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SLC22A10</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LoF</w:t>
            </w:r>
          </w:p>
        </w:tc>
        <w:tc>
          <w:tcPr>
            <w:tcW w:w="137" w:type="dxa"/>
            <w:tcBorders/>
            <w:vAlign w:val="bottom"/>
          </w:tcPr>
          <w:p>
            <w:pPr>
              <w:pStyle w:val="Normal"/>
              <w:widowControl w:val="false"/>
              <w:numPr>
                <w:ilvl w:val="2"/>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w:t>
            </w:r>
          </w:p>
        </w:tc>
        <w:tc>
          <w:tcPr>
            <w:tcW w:w="521"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826"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w:t>
            </w:r>
          </w:p>
        </w:tc>
        <w:tc>
          <w:tcPr>
            <w:tcW w:w="161" w:type="dxa"/>
            <w:tcBorders/>
            <w:vAlign w:val="bottom"/>
          </w:tcPr>
          <w:p>
            <w:pPr>
              <w:pStyle w:val="Normal"/>
              <w:widowControl w:val="false"/>
              <w:numPr>
                <w:ilvl w:val="1"/>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w:t>
            </w:r>
          </w:p>
        </w:tc>
        <w:tc>
          <w:tcPr>
            <w:tcW w:w="534"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1.2E-04</w:t>
            </w:r>
          </w:p>
        </w:tc>
        <w:tc>
          <w:tcPr>
            <w:tcW w:w="149" w:type="dxa"/>
            <w:tcBorders/>
            <w:vAlign w:val="bottom"/>
          </w:tcPr>
          <w:p>
            <w:pPr>
              <w:pStyle w:val="Normal"/>
              <w:widowControl w:val="false"/>
              <w:numPr>
                <w:ilvl w:val="2"/>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474</w:t>
            </w:r>
          </w:p>
        </w:tc>
        <w:tc>
          <w:tcPr>
            <w:tcW w:w="485"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w:t>
            </w:r>
          </w:p>
        </w:tc>
        <w:tc>
          <w:tcPr>
            <w:tcW w:w="648" w:type="dxa"/>
            <w:gridSpan w:val="2"/>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w:t>
            </w:r>
          </w:p>
        </w:tc>
        <w:tc>
          <w:tcPr>
            <w:tcW w:w="828" w:type="dxa"/>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2.1E-04</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Aβ Pathology</w:t>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7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3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48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648" w:type="dxa"/>
            <w:gridSpan w:val="2"/>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60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Inflammation</w:t>
            </w:r>
          </w:p>
        </w:tc>
        <w:tc>
          <w:tcPr>
            <w:tcW w:w="11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72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7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3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48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648" w:type="dxa"/>
            <w:gridSpan w:val="2"/>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60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Synaptic functioning</w:t>
            </w:r>
          </w:p>
        </w:tc>
        <w:tc>
          <w:tcPr>
            <w:tcW w:w="1165"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CASZ1</w:t>
            </w:r>
          </w:p>
        </w:tc>
        <w:tc>
          <w:tcPr>
            <w:tcW w:w="727"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protein</w:t>
            </w:r>
          </w:p>
        </w:tc>
        <w:tc>
          <w:tcPr>
            <w:tcW w:w="137"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4"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121</w:t>
            </w:r>
          </w:p>
        </w:tc>
        <w:tc>
          <w:tcPr>
            <w:tcW w:w="592"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43</w:t>
            </w:r>
          </w:p>
        </w:tc>
        <w:tc>
          <w:tcPr>
            <w:tcW w:w="521"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11</w:t>
            </w:r>
          </w:p>
        </w:tc>
        <w:tc>
          <w:tcPr>
            <w:tcW w:w="826"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4.5E-01</w:t>
            </w:r>
          </w:p>
        </w:tc>
        <w:tc>
          <w:tcPr>
            <w:tcW w:w="161"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353</w:t>
            </w:r>
          </w:p>
        </w:tc>
        <w:tc>
          <w:tcPr>
            <w:tcW w:w="578"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21</w:t>
            </w:r>
          </w:p>
        </w:tc>
        <w:tc>
          <w:tcPr>
            <w:tcW w:w="534"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29</w:t>
            </w:r>
          </w:p>
        </w:tc>
        <w:tc>
          <w:tcPr>
            <w:tcW w:w="837"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9.5E-06</w:t>
            </w:r>
          </w:p>
        </w:tc>
        <w:tc>
          <w:tcPr>
            <w:tcW w:w="149"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474</w:t>
            </w:r>
          </w:p>
        </w:tc>
        <w:tc>
          <w:tcPr>
            <w:tcW w:w="485"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57</w:t>
            </w:r>
          </w:p>
        </w:tc>
        <w:tc>
          <w:tcPr>
            <w:tcW w:w="648" w:type="dxa"/>
            <w:gridSpan w:val="2"/>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7</w:t>
            </w:r>
          </w:p>
        </w:tc>
        <w:tc>
          <w:tcPr>
            <w:tcW w:w="503"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40</w:t>
            </w:r>
          </w:p>
        </w:tc>
        <w:tc>
          <w:tcPr>
            <w:tcW w:w="828" w:type="dxa"/>
            <w:tcBorders>
              <w:bottom w:val="single" w:sz="4" w:space="0" w:color="000000"/>
            </w:tcBorders>
            <w:vAlign w:val="bottom"/>
          </w:tcPr>
          <w:p>
            <w:pPr>
              <w:pStyle w:val="Normal"/>
              <w:widowControl w:val="false"/>
              <w:jc w:val="right"/>
              <w:rPr>
                <w:rFonts w:ascii="Liberation Sans" w:hAnsi="Liberation Sans"/>
                <w:sz w:val="20"/>
                <w:szCs w:val="20"/>
              </w:rPr>
            </w:pPr>
            <w:r>
              <w:rPr>
                <w:rFonts w:ascii="Liberation Sans" w:hAnsi="Liberation Sans"/>
                <w:sz w:val="20"/>
                <w:szCs w:val="20"/>
              </w:rPr>
              <w:t>1.6E-06</w:t>
            </w:r>
          </w:p>
        </w:tc>
      </w:tr>
    </w:tbl>
    <w:p>
      <w:pPr>
        <w:pStyle w:val="Normal"/>
        <w:numPr>
          <w:ilvl w:val="0"/>
          <w:numId w:val="2"/>
        </w:numPr>
        <w:rPr/>
      </w:pPr>
      <w:r>
        <w:rPr>
          <w:rFonts w:ascii="Liberation Sans" w:hAnsi="Liberation Sans"/>
          <w:b/>
          <w:bCs/>
          <w:sz w:val="20"/>
          <w:szCs w:val="20"/>
        </w:rPr>
        <w:t xml:space="preserve">Table S4: Exome-wide significant genes in European ancestry subsample. </w:t>
      </w:r>
      <w:r>
        <w:rPr>
          <w:rFonts w:ascii="Liberation Sans" w:hAnsi="Liberation Sans"/>
          <w:sz w:val="20"/>
          <w:szCs w:val="20"/>
        </w:rPr>
        <w:t>Results for exome-wide rare-variant and mediation analyses, when analysis sample is restricted to participants of European ancestry. Rare (MAF&lt;1%) protein-coding variants in 8,416 genes were tested on a gene level in the protein-coding model and 224 genes in the loss-of-function model. Each gene was associated with five principal component scores of CSF biomarkers, representing different neurodegenerative processes.  P-values (p) were obtained from gene-based SKAT-O tests. SMUT tested mediation on dementia symptoms (MMSE scores) via changes in the principal components All tests were adjusted for sex, age and genetic ancestry (top group). In separate models, we additionally adjusted for diagnosis status (bottom group). Only genes with exome-wide significant association in the mega-analysis (Mega) are displayed (protein-coding:  p&lt;5.9*10</w:t>
      </w:r>
      <w:r>
        <w:rPr>
          <w:rFonts w:ascii="Liberation Sans" w:hAnsi="Liberation Sans"/>
          <w:sz w:val="20"/>
          <w:szCs w:val="20"/>
          <w:vertAlign w:val="superscript"/>
        </w:rPr>
        <w:t>-6</w:t>
      </w:r>
      <w:r>
        <w:rPr>
          <w:rFonts w:ascii="Liberation Sans" w:hAnsi="Liberation Sans"/>
          <w:sz w:val="20"/>
          <w:szCs w:val="20"/>
        </w:rPr>
        <w:t>; lof:  p&lt;2.2*10</w:t>
      </w:r>
      <w:r>
        <w:rPr>
          <w:rFonts w:ascii="Liberation Sans" w:hAnsi="Liberation Sans"/>
          <w:sz w:val="20"/>
          <w:szCs w:val="20"/>
          <w:vertAlign w:val="superscript"/>
        </w:rPr>
        <w:t>-4</w:t>
      </w:r>
      <w:r>
        <w:rPr>
          <w:rFonts w:ascii="Liberation Sans" w:hAnsi="Liberation Sans"/>
          <w:sz w:val="20"/>
          <w:szCs w:val="20"/>
        </w:rPr>
        <w:t>)</w:t>
      </w:r>
    </w:p>
    <w:p>
      <w:pPr>
        <w:pStyle w:val="Normal"/>
        <w:numPr>
          <w:ilvl w:val="0"/>
          <w:numId w:val="2"/>
        </w:numPr>
        <w:rPr/>
      </w:pPr>
      <w:r>
        <w:rPr>
          <w:rFonts w:ascii="Liberation Sans" w:hAnsi="Liberation Sans"/>
          <w:b/>
          <w:bCs/>
          <w:sz w:val="20"/>
          <w:szCs w:val="20"/>
        </w:rPr>
        <w:t>Model</w:t>
      </w:r>
      <w:r>
        <w:rPr>
          <w:rFonts w:ascii="Liberation Sans" w:hAnsi="Liberation Sans"/>
          <w:sz w:val="20"/>
          <w:szCs w:val="20"/>
        </w:rPr>
        <w:t xml:space="preserve"> Indicator whether variants were restricted to protein-coding (Protein) or loss-of-function (LoF) variants</w:t>
      </w:r>
    </w:p>
    <w:p>
      <w:pPr>
        <w:pStyle w:val="Normal"/>
        <w:numPr>
          <w:ilvl w:val="0"/>
          <w:numId w:val="2"/>
        </w:numPr>
        <w:rPr/>
      </w:pPr>
      <w:r>
        <w:rPr>
          <w:rFonts w:ascii="Liberation Sans" w:hAnsi="Liberation Sans"/>
          <w:b/>
          <w:bCs/>
          <w:sz w:val="20"/>
          <w:szCs w:val="20"/>
        </w:rPr>
        <w:t>n</w:t>
      </w:r>
      <w:r>
        <w:rPr>
          <w:rFonts w:ascii="Liberation Sans" w:hAnsi="Liberation Sans"/>
          <w:sz w:val="20"/>
          <w:szCs w:val="20"/>
        </w:rPr>
        <w:t xml:space="preserve"> Sample size </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snps</w:t>
      </w:r>
      <w:r>
        <w:rPr>
          <w:rFonts w:ascii="Liberation Sans" w:hAnsi="Liberation Sans"/>
          <w:sz w:val="20"/>
          <w:szCs w:val="20"/>
          <w:vertAlign w:val="subscript"/>
        </w:rPr>
        <w:t xml:space="preserve"> </w:t>
      </w:r>
      <w:r>
        <w:rPr>
          <w:rFonts w:ascii="Liberation Sans" w:hAnsi="Liberation Sans"/>
          <w:sz w:val="20"/>
          <w:szCs w:val="20"/>
        </w:rPr>
        <w:t>Number of variants included</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carriers</w:t>
      </w:r>
      <w:r>
        <w:rPr>
          <w:rFonts w:ascii="Liberation Sans" w:hAnsi="Liberation Sans"/>
          <w:sz w:val="20"/>
          <w:szCs w:val="20"/>
        </w:rPr>
        <w:t xml:space="preserve"> Number of participants with at least one rare variant in the gene</w:t>
      </w:r>
    </w:p>
    <w:p>
      <w:pPr>
        <w:pStyle w:val="Normal"/>
        <w:numPr>
          <w:ilvl w:val="0"/>
          <w:numId w:val="2"/>
        </w:numPr>
        <w:rPr/>
      </w:pPr>
      <w:r>
        <w:rPr>
          <w:rFonts w:ascii="Liberation Sans" w:hAnsi="Liberation Sans"/>
          <w:b/>
          <w:bCs/>
          <w:sz w:val="20"/>
          <w:szCs w:val="20"/>
        </w:rPr>
        <w:t>p</w:t>
      </w:r>
      <w:r>
        <w:rPr>
          <w:rFonts w:ascii="Liberation Sans" w:hAnsi="Liberation Sans"/>
          <w:sz w:val="20"/>
          <w:szCs w:val="20"/>
        </w:rPr>
        <w:t xml:space="preserve"> p-value of SKAT-O test.</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 xml:space="preserve">snp overlap </w:t>
      </w:r>
      <w:r>
        <w:rPr>
          <w:rFonts w:ascii="Liberation Sans" w:hAnsi="Liberation Sans"/>
          <w:sz w:val="20"/>
          <w:szCs w:val="20"/>
        </w:rPr>
        <w:t>Number of variants present in both ADNI and EMIF</w:t>
      </w:r>
      <w:r>
        <w:br w:type="page"/>
      </w:r>
    </w:p>
    <w:p>
      <w:pPr>
        <w:pStyle w:val="Heading1"/>
        <w:numPr>
          <w:ilvl w:val="0"/>
          <w:numId w:val="2"/>
        </w:numPr>
        <w:rPr>
          <w:sz w:val="32"/>
          <w:szCs w:val="32"/>
        </w:rPr>
      </w:pPr>
      <w:r>
        <w:rPr>
          <w:sz w:val="32"/>
          <w:szCs w:val="32"/>
        </w:rPr>
        <w:t>Table S5: Genes with exome-wide significance in single cohort (Protein-coding)</w:t>
      </w:r>
    </w:p>
    <w:tbl>
      <w:tblPr>
        <w:tblW w:w="12701" w:type="dxa"/>
        <w:jc w:val="left"/>
        <w:tblInd w:w="-459" w:type="dxa"/>
        <w:tblLayout w:type="fixed"/>
        <w:tblCellMar>
          <w:top w:w="55" w:type="dxa"/>
          <w:left w:w="55" w:type="dxa"/>
          <w:bottom w:w="55" w:type="dxa"/>
          <w:right w:w="55" w:type="dxa"/>
        </w:tblCellMar>
        <w:tblLook w:val="04a0" w:noHBand="0" w:noVBand="1" w:firstColumn="1" w:lastRow="0" w:lastColumn="0" w:firstRow="1"/>
      </w:tblPr>
      <w:tblGrid>
        <w:gridCol w:w="2711"/>
        <w:gridCol w:w="1688"/>
        <w:gridCol w:w="239"/>
        <w:gridCol w:w="475"/>
        <w:gridCol w:w="591"/>
        <w:gridCol w:w="522"/>
        <w:gridCol w:w="825"/>
        <w:gridCol w:w="163"/>
        <w:gridCol w:w="462"/>
        <w:gridCol w:w="488"/>
        <w:gridCol w:w="91"/>
        <w:gridCol w:w="534"/>
        <w:gridCol w:w="837"/>
        <w:gridCol w:w="148"/>
        <w:gridCol w:w="465"/>
        <w:gridCol w:w="568"/>
        <w:gridCol w:w="566"/>
        <w:gridCol w:w="503"/>
        <w:gridCol w:w="822"/>
      </w:tblGrid>
      <w:tr>
        <w:trPr>
          <w:trHeight w:val="300" w:hRule="atLeast"/>
        </w:trPr>
        <w:tc>
          <w:tcPr>
            <w:tcW w:w="2711"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39"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413" w:type="dxa"/>
            <w:gridSpan w:val="4"/>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ADNI</w:t>
            </w:r>
          </w:p>
        </w:tc>
        <w:tc>
          <w:tcPr>
            <w:tcW w:w="163"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412" w:type="dxa"/>
            <w:gridSpan w:val="5"/>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EMIF</w:t>
            </w:r>
          </w:p>
        </w:tc>
        <w:tc>
          <w:tcPr>
            <w:tcW w:w="148"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924" w:type="dxa"/>
            <w:gridSpan w:val="5"/>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Meta</w:t>
            </w:r>
          </w:p>
        </w:tc>
      </w:tr>
      <w:tr>
        <w:trPr>
          <w:trHeight w:val="300" w:hRule="atLeast"/>
        </w:trPr>
        <w:tc>
          <w:tcPr>
            <w:tcW w:w="2711"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Outcome</w:t>
            </w:r>
          </w:p>
        </w:tc>
        <w:tc>
          <w:tcPr>
            <w:tcW w:w="1688"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Gene</w:t>
            </w:r>
          </w:p>
        </w:tc>
        <w:tc>
          <w:tcPr>
            <w:tcW w:w="23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91"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22"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25"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c>
          <w:tcPr>
            <w:tcW w:w="163"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79" w:type="dxa"/>
            <w:gridSpan w:val="2"/>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34"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37"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c>
          <w:tcPr>
            <w:tcW w:w="148"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68"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66"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p>
            <w:pPr>
              <w:pStyle w:val="Normal"/>
              <w:widowControl w:val="false"/>
              <w:numPr>
                <w:ilvl w:val="0"/>
                <w:numId w:val="2"/>
              </w:numPr>
              <w:jc w:val="center"/>
              <w:rPr>
                <w:rFonts w:ascii="Liberation Sans" w:hAnsi="Liberation Sans"/>
                <w:sz w:val="20"/>
                <w:szCs w:val="20"/>
                <w:vertAlign w:val="subscript"/>
              </w:rPr>
            </w:pPr>
            <w:r>
              <w:rPr>
                <w:rFonts w:ascii="Liberation Sans" w:hAnsi="Liberation Sans"/>
                <w:sz w:val="20"/>
                <w:szCs w:val="20"/>
                <w:vertAlign w:val="subscript"/>
              </w:rPr>
              <w:t>overlap</w:t>
            </w:r>
          </w:p>
        </w:tc>
        <w:tc>
          <w:tcPr>
            <w:tcW w:w="503"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22"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r>
      <w:tr>
        <w:trPr>
          <w:trHeight w:val="300" w:hRule="atLeast"/>
        </w:trPr>
        <w:tc>
          <w:tcPr>
            <w:tcW w:w="12698" w:type="dxa"/>
            <w:gridSpan w:val="19"/>
            <w:tcBorders>
              <w:top w:val="single" w:sz="4" w:space="0" w:color="000000"/>
            </w:tcBorders>
            <w:vAlign w:val="bottom"/>
          </w:tcPr>
          <w:p>
            <w:pPr>
              <w:pStyle w:val="Normal"/>
              <w:widowControl w:val="false"/>
              <w:numPr>
                <w:ilvl w:val="0"/>
                <w:numId w:val="2"/>
              </w:numPr>
              <w:rPr>
                <w:rFonts w:ascii="Liberation Sans" w:hAnsi="Liberation Sans"/>
                <w:i/>
                <w:i/>
                <w:iCs/>
                <w:sz w:val="20"/>
                <w:szCs w:val="20"/>
              </w:rPr>
            </w:pPr>
            <w:r>
              <w:rPr>
                <w:rFonts w:ascii="Liberation Sans" w:hAnsi="Liberation Sans"/>
                <w:i/>
                <w:iCs/>
                <w:sz w:val="20"/>
                <w:szCs w:val="20"/>
              </w:rPr>
              <w:t>Adjusted for sex, age and ancestry</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Tau pathology/Degeneration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NCAM2</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11</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3.1E-06</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1.7E-01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vAlign w:val="bottom"/>
          </w:tcPr>
          <w:p>
            <w:pPr>
              <w:pStyle w:val="Normal"/>
              <w:widowControl w:val="false"/>
              <w:numPr>
                <w:ilvl w:val="0"/>
                <w:numId w:val="2"/>
              </w:numPr>
              <w:jc w:val="right"/>
              <w:rPr/>
            </w:pPr>
            <w:r>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3.6E-03</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Injury/Inflammation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4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625" w:type="dxa"/>
            <w:gridSpan w:val="2"/>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6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6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Aβ Pathology</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4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625" w:type="dxa"/>
            <w:gridSpan w:val="2"/>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6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6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Inflammation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PRPS1L1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3.5E-06</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7.9E-01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4.8E-03</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CHI3L1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16</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1.1E-01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1.2E-07</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20</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1.5E-02</w:t>
            </w:r>
          </w:p>
        </w:tc>
      </w:tr>
      <w:tr>
        <w:trPr>
          <w:trHeight w:val="300" w:hRule="atLeast"/>
        </w:trPr>
        <w:tc>
          <w:tcPr>
            <w:tcW w:w="2711"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Synaptic functioning</w:t>
            </w:r>
          </w:p>
        </w:tc>
        <w:tc>
          <w:tcPr>
            <w:tcW w:w="1688"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CLU</w:t>
            </w:r>
          </w:p>
        </w:tc>
        <w:tc>
          <w:tcPr>
            <w:tcW w:w="23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2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82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4.6E-01</w:t>
            </w:r>
          </w:p>
        </w:tc>
        <w:tc>
          <w:tcPr>
            <w:tcW w:w="163"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625" w:type="dxa"/>
            <w:gridSpan w:val="2"/>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37"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5.9E-07</w:t>
            </w:r>
          </w:p>
        </w:tc>
        <w:tc>
          <w:tcPr>
            <w:tcW w:w="14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66"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03"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1.0E-02</w:t>
            </w:r>
          </w:p>
        </w:tc>
      </w:tr>
      <w:tr>
        <w:trPr>
          <w:trHeight w:val="300" w:hRule="atLeast"/>
        </w:trPr>
        <w:tc>
          <w:tcPr>
            <w:tcW w:w="12698" w:type="dxa"/>
            <w:gridSpan w:val="19"/>
            <w:tcBorders>
              <w:bottom w:val="single" w:sz="4" w:space="0" w:color="000000"/>
            </w:tcBorders>
            <w:vAlign w:val="bottom"/>
          </w:tcPr>
          <w:p>
            <w:pPr>
              <w:pStyle w:val="Normal"/>
              <w:widowControl w:val="false"/>
              <w:numPr>
                <w:ilvl w:val="0"/>
                <w:numId w:val="2"/>
              </w:numPr>
              <w:rPr>
                <w:rFonts w:ascii="Liberation Sans" w:hAnsi="Liberation Sans"/>
                <w:i/>
                <w:i/>
                <w:iCs/>
                <w:sz w:val="20"/>
                <w:szCs w:val="20"/>
              </w:rPr>
            </w:pPr>
            <w:r>
              <w:rPr>
                <w:rFonts w:ascii="Liberation Sans" w:hAnsi="Liberation Sans"/>
                <w:i/>
                <w:iCs/>
                <w:sz w:val="20"/>
                <w:szCs w:val="20"/>
              </w:rPr>
              <w:t>Adjusted for sex, age, ancestry and diagnosis</w:t>
            </w:r>
          </w:p>
        </w:tc>
      </w:tr>
      <w:tr>
        <w:trPr>
          <w:trHeight w:val="300" w:hRule="atLeast"/>
        </w:trPr>
        <w:tc>
          <w:tcPr>
            <w:tcW w:w="2711" w:type="dxa"/>
            <w:tcBorders>
              <w:top w:val="single" w:sz="4" w:space="0" w:color="000000"/>
            </w:tcBorders>
            <w:vAlign w:val="bottom"/>
          </w:tcPr>
          <w:p>
            <w:pPr>
              <w:pStyle w:val="Normal"/>
              <w:widowControl w:val="false"/>
              <w:numPr>
                <w:ilvl w:val="0"/>
                <w:numId w:val="2"/>
              </w:numPr>
              <w:rPr>
                <w:rFonts w:ascii="Liberation Sans" w:hAnsi="Liberation Sans"/>
                <w:i/>
                <w:i/>
                <w:iCs/>
                <w:sz w:val="20"/>
                <w:szCs w:val="20"/>
              </w:rPr>
            </w:pPr>
            <w:r>
              <w:rPr>
                <w:rFonts w:ascii="Liberation Sans" w:hAnsi="Liberation Sans"/>
                <w:i/>
                <w:iCs/>
                <w:sz w:val="20"/>
                <w:szCs w:val="20"/>
              </w:rPr>
              <w:t>Adjusted for sex, age and ancestry</w:t>
            </w:r>
          </w:p>
        </w:tc>
        <w:tc>
          <w:tcPr>
            <w:tcW w:w="1688"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39"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59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5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82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625" w:type="dxa"/>
            <w:gridSpan w:val="2"/>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56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56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8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Tau pathology/Degeneration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AMBN</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1.7E-30</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7.7E-01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COQ6</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2.6E-30</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9.1E-02</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6.4E-02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MAST4</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40</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1.9E-06</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31</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2.6E-01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67</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43</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5.9E-02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POGLUT1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4.0E-28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4.3E-01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9.3E-02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SRF</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6.3E-29</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8.3E-01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TMEM261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2.4E-28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7.4E-01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ZFYVE21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4.0E-28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2.5E-01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5.3E-02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Injury/Inflammation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AMBN</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3.9E-11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5.7E-01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COQ6</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1.0E-02</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3.9E-02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POGLUT1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1.5E-01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SRF</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3.6E-11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6.3E-01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8.2E-01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TMEM261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5.0E-11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8.6E-01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TXNRD2</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4.2E-11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5.0E-01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5.0E-01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ZFYVE21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3.9E-11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8.1E-01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2.8E-01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Aβ Pathology</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APOBEC3B</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1.9E-11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2.9E-01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2.5E-01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COLCA1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1.3E-07</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4.9E-01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5.2E-01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GPAM</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1.3E-08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2.1E-01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16</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2.6E-01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MMP7</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2.2E-10</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5.6E-01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5.9E-01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SERPINA11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6.4E-09</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8.2E-01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3.3E-01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UTS2R</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1.3E-07</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5.0E-02</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4.9E-02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Inflammation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AMBN</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7.0E-13</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3.7E-01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2.1E-01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APOBEC3B</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5.1E-21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4.3E-01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8.4E-02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COLCA1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7.4E-24</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6.4E-01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ab/>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6.9E-01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COQ6</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7.4E-13</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5.9E-01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GPAM</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5.2E-22</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16</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7.6E-01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MMP7</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7.2E-32</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6.7E-01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POGLUT1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7.7E-13</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9.7E-01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5.4E-01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RALGPS2</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2.7E-06</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2.0E-01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1.8E-03</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SERPINA11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7.2E-23</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2.9E-01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6.7E-02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SRF</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1.7E-12</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2.0E-01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8.3E-01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TMEM261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5.6E-13</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7.3E-01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2.6E-01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UTS2R</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1.2E-24</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4.3E-01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5.8E-01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TXNRD2</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7.8E-13</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1.9E-01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1.9E-01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ZFYVE21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1.0E-12</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5.7E-01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4.4E-02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CHI3L1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16</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7.2E-02</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4.9E-08</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20</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1.7E-02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Synaptic functioning</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AMBN</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3.1E-08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8.5E-01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APOBEC3B</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2.3E-44</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7.8E-01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COLCA1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2.7E-27</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2.3E-01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ab/>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2.4E-01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COQ6</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9.6E-10</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4.5E-02</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4.2E-02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GPAM</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4.0E-35</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7.4E-01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16</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8.6E-01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MMP7</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3.0E-46</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6.4E-01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POGLUT1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5.8E-10</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3.6E-01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1.7E-01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SERPINA11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9.7E-42</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2.4E-01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9.2E-02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SRF</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6.4E-08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7.0E-01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5.5E-01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TMEM261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6.2E-08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9.4E-01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r>
      <w:tr>
        <w:trPr>
          <w:trHeight w:val="41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TXNRD2</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6.5E-09</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1.9E-01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b/>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1.9E-01</w:t>
            </w:r>
          </w:p>
        </w:tc>
      </w:tr>
      <w:tr>
        <w:trPr>
          <w:trHeight w:val="41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UTS2R</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6.7E-28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7.2E-01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0</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6.8E-01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ZFYVE21</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1.4E-08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625" w:type="dxa"/>
            <w:gridSpan w:val="2"/>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3.6E-01</w:t>
            </w:r>
          </w:p>
        </w:tc>
      </w:tr>
      <w:tr>
        <w:trPr>
          <w:trHeight w:val="300" w:hRule="atLeast"/>
        </w:trPr>
        <w:tc>
          <w:tcPr>
            <w:tcW w:w="2711"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CLU</w:t>
            </w:r>
          </w:p>
        </w:tc>
        <w:tc>
          <w:tcPr>
            <w:tcW w:w="23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w:t>
            </w:r>
          </w:p>
        </w:tc>
        <w:tc>
          <w:tcPr>
            <w:tcW w:w="52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82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4.5E-01</w:t>
            </w:r>
          </w:p>
        </w:tc>
        <w:tc>
          <w:tcPr>
            <w:tcW w:w="163"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48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625" w:type="dxa"/>
            <w:gridSpan w:val="2"/>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837"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6.0E-07</w:t>
            </w:r>
          </w:p>
        </w:tc>
        <w:tc>
          <w:tcPr>
            <w:tcW w:w="14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566"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03"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1.2E-02</w:t>
            </w:r>
          </w:p>
        </w:tc>
      </w:tr>
    </w:tbl>
    <w:p>
      <w:pPr>
        <w:pStyle w:val="Normal"/>
        <w:numPr>
          <w:ilvl w:val="0"/>
          <w:numId w:val="2"/>
        </w:numPr>
        <w:rPr/>
      </w:pPr>
      <w:r>
        <w:rPr>
          <w:rFonts w:ascii="Liberation Sans" w:hAnsi="Liberation Sans"/>
          <w:b/>
          <w:bCs/>
          <w:sz w:val="20"/>
          <w:szCs w:val="20"/>
        </w:rPr>
        <w:t xml:space="preserve">Table S5: </w:t>
      </w:r>
      <w:r>
        <w:rPr>
          <w:rFonts w:eastAsia="Noto Sans CJK SC" w:ascii="Liberation Sans" w:hAnsi="Liberation Sans"/>
          <w:b/>
          <w:bCs/>
        </w:rPr>
        <w:t>Genes with exome-wide significance in single cohort (Protein-coding)</w:t>
      </w:r>
      <w:r>
        <w:rPr>
          <w:rFonts w:ascii="Liberation Sans" w:hAnsi="Liberation Sans"/>
          <w:b/>
          <w:bCs/>
          <w:sz w:val="20"/>
          <w:szCs w:val="20"/>
        </w:rPr>
        <w:t xml:space="preserve">. </w:t>
      </w:r>
      <w:r>
        <w:rPr>
          <w:rFonts w:ascii="Liberation Sans" w:hAnsi="Liberation Sans"/>
          <w:sz w:val="20"/>
          <w:szCs w:val="20"/>
        </w:rPr>
        <w:t>Results for exome-wide rare-variant and mediation analyses. Rare (MAF&lt;1%) protein-coding variants in 9,576 genes were tested on a gene level in the protein-coding model. Each gene was associated with five principal component scores of CSF biomarkers, representing different neurodegenerative processes.  P-values (p) were obtained from gene-based SKAT-O tests. SMUT tested mediation on dementia symptoms (MMSE scores) via changes in the principal components. All tests were adjusted for sex, age and genetic ancestry (top group). In separate models, we additionally adjusted for diagnosis status (bottom group). Only genes with exome-wide significant association in one of the two studies, but not mega-analysis, are displayed (protein-coding:  p&lt;5.2*10</w:t>
      </w:r>
      <w:r>
        <w:rPr>
          <w:rFonts w:ascii="Liberation Sans" w:hAnsi="Liberation Sans"/>
          <w:sz w:val="20"/>
          <w:szCs w:val="20"/>
          <w:vertAlign w:val="superscript"/>
        </w:rPr>
        <w:t>-6</w:t>
      </w:r>
      <w:r>
        <w:rPr>
          <w:rFonts w:ascii="Liberation Sans" w:hAnsi="Liberation Sans"/>
          <w:sz w:val="20"/>
          <w:szCs w:val="20"/>
        </w:rPr>
        <w:t>; lof:  p&lt;1.9*10</w:t>
      </w:r>
      <w:r>
        <w:rPr>
          <w:rFonts w:ascii="Liberation Sans" w:hAnsi="Liberation Sans"/>
          <w:sz w:val="20"/>
          <w:szCs w:val="20"/>
          <w:vertAlign w:val="superscript"/>
        </w:rPr>
        <w:t>-4</w:t>
      </w:r>
      <w:r>
        <w:rPr>
          <w:rFonts w:ascii="Liberation Sans" w:hAnsi="Liberation Sans"/>
          <w:sz w:val="20"/>
          <w:szCs w:val="20"/>
        </w:rPr>
        <w:t>).</w:t>
      </w:r>
    </w:p>
    <w:p>
      <w:pPr>
        <w:pStyle w:val="Normal"/>
        <w:numPr>
          <w:ilvl w:val="0"/>
          <w:numId w:val="2"/>
        </w:numPr>
        <w:rPr/>
      </w:pPr>
      <w:r>
        <w:rPr>
          <w:rFonts w:ascii="Liberation Sans" w:hAnsi="Liberation Sans"/>
          <w:b/>
          <w:bCs/>
          <w:sz w:val="20"/>
          <w:szCs w:val="20"/>
        </w:rPr>
        <w:t>n</w:t>
      </w:r>
      <w:r>
        <w:rPr>
          <w:rFonts w:ascii="Liberation Sans" w:hAnsi="Liberation Sans"/>
          <w:sz w:val="20"/>
          <w:szCs w:val="20"/>
        </w:rPr>
        <w:t xml:space="preserve"> Sample size </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snps</w:t>
      </w:r>
      <w:r>
        <w:rPr>
          <w:rFonts w:ascii="Liberation Sans" w:hAnsi="Liberation Sans"/>
          <w:sz w:val="20"/>
          <w:szCs w:val="20"/>
          <w:vertAlign w:val="subscript"/>
        </w:rPr>
        <w:t xml:space="preserve"> </w:t>
      </w:r>
      <w:r>
        <w:rPr>
          <w:rFonts w:ascii="Liberation Sans" w:hAnsi="Liberation Sans"/>
          <w:sz w:val="20"/>
          <w:szCs w:val="20"/>
        </w:rPr>
        <w:t>Number of variants included</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carriers</w:t>
      </w:r>
      <w:r>
        <w:rPr>
          <w:rFonts w:ascii="Liberation Sans" w:hAnsi="Liberation Sans"/>
          <w:sz w:val="20"/>
          <w:szCs w:val="20"/>
        </w:rPr>
        <w:t xml:space="preserve"> Number of participants with at least one rare variant in the gene</w:t>
      </w:r>
    </w:p>
    <w:p>
      <w:pPr>
        <w:pStyle w:val="Normal"/>
        <w:numPr>
          <w:ilvl w:val="0"/>
          <w:numId w:val="2"/>
        </w:numPr>
        <w:rPr/>
      </w:pPr>
      <w:r>
        <w:rPr>
          <w:rFonts w:ascii="Liberation Sans" w:hAnsi="Liberation Sans"/>
          <w:b/>
          <w:bCs/>
          <w:sz w:val="20"/>
          <w:szCs w:val="20"/>
        </w:rPr>
        <w:t>p</w:t>
      </w:r>
      <w:r>
        <w:rPr>
          <w:rFonts w:ascii="Liberation Sans" w:hAnsi="Liberation Sans"/>
          <w:sz w:val="20"/>
          <w:szCs w:val="20"/>
        </w:rPr>
        <w:t xml:space="preserve"> p-value of SKAT-O test.</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 xml:space="preserve">snp overlap </w:t>
      </w:r>
      <w:r>
        <w:rPr>
          <w:rFonts w:ascii="Liberation Sans" w:hAnsi="Liberation Sans"/>
          <w:sz w:val="20"/>
          <w:szCs w:val="20"/>
        </w:rPr>
        <w:t>Number of variants present in both ADNI and EMIF</w:t>
      </w:r>
      <w:r>
        <w:br w:type="page"/>
      </w:r>
    </w:p>
    <w:p>
      <w:pPr>
        <w:pStyle w:val="Heading2"/>
        <w:numPr>
          <w:ilvl w:val="1"/>
          <w:numId w:val="2"/>
        </w:numPr>
        <w:rPr/>
      </w:pPr>
      <w:r>
        <w:rPr/>
        <w:t>Table S6: Genes with exome-wide significance in single cohort (Loss-of-function)</w:t>
      </w:r>
    </w:p>
    <w:tbl>
      <w:tblPr>
        <w:tblW w:w="12701" w:type="dxa"/>
        <w:jc w:val="left"/>
        <w:tblInd w:w="-459" w:type="dxa"/>
        <w:tblLayout w:type="fixed"/>
        <w:tblCellMar>
          <w:top w:w="55" w:type="dxa"/>
          <w:left w:w="55" w:type="dxa"/>
          <w:bottom w:w="55" w:type="dxa"/>
          <w:right w:w="55" w:type="dxa"/>
        </w:tblCellMar>
        <w:tblLook w:val="04a0" w:noHBand="0" w:noVBand="1" w:firstColumn="1" w:lastRow="0" w:lastColumn="0" w:firstRow="1"/>
      </w:tblPr>
      <w:tblGrid>
        <w:gridCol w:w="2711"/>
        <w:gridCol w:w="1688"/>
        <w:gridCol w:w="239"/>
        <w:gridCol w:w="475"/>
        <w:gridCol w:w="591"/>
        <w:gridCol w:w="522"/>
        <w:gridCol w:w="825"/>
        <w:gridCol w:w="163"/>
        <w:gridCol w:w="462"/>
        <w:gridCol w:w="579"/>
        <w:gridCol w:w="534"/>
        <w:gridCol w:w="837"/>
        <w:gridCol w:w="148"/>
        <w:gridCol w:w="465"/>
        <w:gridCol w:w="568"/>
        <w:gridCol w:w="566"/>
        <w:gridCol w:w="503"/>
        <w:gridCol w:w="822"/>
      </w:tblGrid>
      <w:tr>
        <w:trPr>
          <w:trHeight w:val="300" w:hRule="atLeast"/>
        </w:trPr>
        <w:tc>
          <w:tcPr>
            <w:tcW w:w="2711"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39"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413" w:type="dxa"/>
            <w:gridSpan w:val="4"/>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ADNI</w:t>
            </w:r>
          </w:p>
        </w:tc>
        <w:tc>
          <w:tcPr>
            <w:tcW w:w="163"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412" w:type="dxa"/>
            <w:gridSpan w:val="4"/>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EMIF</w:t>
            </w:r>
          </w:p>
        </w:tc>
        <w:tc>
          <w:tcPr>
            <w:tcW w:w="148" w:type="dxa"/>
            <w:tcBorders>
              <w:top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2924" w:type="dxa"/>
            <w:gridSpan w:val="5"/>
            <w:tcBorders>
              <w:top w:val="single" w:sz="4" w:space="0" w:color="000000"/>
              <w:bottom w:val="single" w:sz="4" w:space="0" w:color="000000"/>
            </w:tcBorders>
            <w:vAlign w:val="center"/>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Meta</w:t>
            </w:r>
          </w:p>
        </w:tc>
      </w:tr>
      <w:tr>
        <w:trPr>
          <w:trHeight w:val="300" w:hRule="atLeast"/>
        </w:trPr>
        <w:tc>
          <w:tcPr>
            <w:tcW w:w="2711"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Outcome</w:t>
            </w:r>
          </w:p>
        </w:tc>
        <w:tc>
          <w:tcPr>
            <w:tcW w:w="1688"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Gene</w:t>
            </w:r>
          </w:p>
        </w:tc>
        <w:tc>
          <w:tcPr>
            <w:tcW w:w="23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91"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22"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25"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c>
          <w:tcPr>
            <w:tcW w:w="163"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79"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34"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37"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c>
          <w:tcPr>
            <w:tcW w:w="148"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p>
        </w:tc>
        <w:tc>
          <w:tcPr>
            <w:tcW w:w="568"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tc>
        <w:tc>
          <w:tcPr>
            <w:tcW w:w="566"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snps</w:t>
            </w:r>
          </w:p>
          <w:p>
            <w:pPr>
              <w:pStyle w:val="Normal"/>
              <w:widowControl w:val="false"/>
              <w:numPr>
                <w:ilvl w:val="0"/>
                <w:numId w:val="2"/>
              </w:numPr>
              <w:jc w:val="center"/>
              <w:rPr>
                <w:rFonts w:ascii="Liberation Sans" w:hAnsi="Liberation Sans"/>
                <w:sz w:val="20"/>
                <w:szCs w:val="20"/>
                <w:vertAlign w:val="subscript"/>
              </w:rPr>
            </w:pPr>
            <w:r>
              <w:rPr>
                <w:rFonts w:ascii="Liberation Sans" w:hAnsi="Liberation Sans"/>
                <w:sz w:val="20"/>
                <w:szCs w:val="20"/>
                <w:vertAlign w:val="subscript"/>
              </w:rPr>
              <w:t>overlap</w:t>
            </w:r>
          </w:p>
        </w:tc>
        <w:tc>
          <w:tcPr>
            <w:tcW w:w="503"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n</w:t>
            </w:r>
            <w:r>
              <w:rPr>
                <w:rFonts w:ascii="Liberation Sans" w:hAnsi="Liberation Sans"/>
                <w:sz w:val="20"/>
                <w:szCs w:val="20"/>
                <w:vertAlign w:val="subscript"/>
              </w:rPr>
              <w:t>car-riers</w:t>
            </w:r>
          </w:p>
        </w:tc>
        <w:tc>
          <w:tcPr>
            <w:tcW w:w="822" w:type="dxa"/>
            <w:tcBorders>
              <w:bottom w:val="single" w:sz="4" w:space="0" w:color="000000"/>
            </w:tcBorders>
            <w:vAlign w:val="bottom"/>
          </w:tcPr>
          <w:p>
            <w:pPr>
              <w:pStyle w:val="Normal"/>
              <w:widowControl w:val="false"/>
              <w:numPr>
                <w:ilvl w:val="0"/>
                <w:numId w:val="2"/>
              </w:numPr>
              <w:jc w:val="center"/>
              <w:rPr>
                <w:rFonts w:ascii="Liberation Sans" w:hAnsi="Liberation Sans"/>
                <w:sz w:val="20"/>
                <w:szCs w:val="20"/>
              </w:rPr>
            </w:pPr>
            <w:r>
              <w:rPr>
                <w:rFonts w:ascii="Liberation Sans" w:hAnsi="Liberation Sans"/>
                <w:sz w:val="20"/>
                <w:szCs w:val="20"/>
              </w:rPr>
              <w:t>p</w:t>
            </w:r>
          </w:p>
        </w:tc>
      </w:tr>
      <w:tr>
        <w:trPr>
          <w:trHeight w:val="300" w:hRule="atLeast"/>
        </w:trPr>
        <w:tc>
          <w:tcPr>
            <w:tcW w:w="12698" w:type="dxa"/>
            <w:gridSpan w:val="18"/>
            <w:tcBorders>
              <w:top w:val="single" w:sz="4" w:space="0" w:color="000000"/>
            </w:tcBorders>
            <w:vAlign w:val="bottom"/>
          </w:tcPr>
          <w:p>
            <w:pPr>
              <w:pStyle w:val="Normal"/>
              <w:widowControl w:val="false"/>
              <w:numPr>
                <w:ilvl w:val="0"/>
                <w:numId w:val="2"/>
              </w:numPr>
              <w:rPr>
                <w:rFonts w:ascii="Liberation Sans" w:hAnsi="Liberation Sans"/>
                <w:i/>
                <w:i/>
                <w:iCs/>
                <w:sz w:val="20"/>
                <w:szCs w:val="20"/>
              </w:rPr>
            </w:pPr>
            <w:r>
              <w:rPr>
                <w:rFonts w:ascii="Liberation Sans" w:hAnsi="Liberation Sans"/>
                <w:i/>
                <w:iCs/>
                <w:sz w:val="20"/>
                <w:szCs w:val="20"/>
              </w:rPr>
              <w:t>Adjusted for sex, age and ancestry</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Tau pathology/Degeneration</w:t>
            </w:r>
          </w:p>
        </w:tc>
        <w:tc>
          <w:tcPr>
            <w:tcW w:w="1688" w:type="dxa"/>
            <w:tcBorders/>
            <w:vAlign w:val="bottom"/>
          </w:tcPr>
          <w:p>
            <w:pPr>
              <w:pStyle w:val="Normal"/>
              <w:widowControl w:val="false"/>
              <w:rPr/>
            </w:pPr>
            <w:r>
              <w:rPr/>
            </w:r>
          </w:p>
          <w:p>
            <w:pPr>
              <w:pStyle w:val="Normal"/>
              <w:widowControl w:val="false"/>
              <w:numPr>
                <w:ilvl w:val="0"/>
                <w:numId w:val="2"/>
              </w:numPr>
              <w:rPr>
                <w:rFonts w:ascii="Liberation Sans" w:hAnsi="Liberation Sans"/>
                <w:sz w:val="20"/>
                <w:szCs w:val="20"/>
              </w:rPr>
            </w:pPr>
            <w:r>
              <w:rPr>
                <w:rFonts w:ascii="Liberation Sans" w:hAnsi="Liberation Sans"/>
                <w:sz w:val="20"/>
                <w:szCs w:val="20"/>
              </w:rPr>
              <w:t>SP100</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8.1E-87</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2.9E-01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3.0E-01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Injury/Inflammation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7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3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6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6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Aβ Pathology</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9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7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34"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37"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6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66"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50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c>
          <w:tcPr>
            <w:tcW w:w="822"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Inflammation</w:t>
            </w:r>
          </w:p>
        </w:tc>
        <w:tc>
          <w:tcPr>
            <w:tcW w:w="1688" w:type="dxa"/>
            <w:tcBorders/>
            <w:vAlign w:val="bottom"/>
          </w:tcPr>
          <w:p>
            <w:pPr>
              <w:pStyle w:val="TableContents"/>
              <w:widowControl w:val="false"/>
              <w:numPr>
                <w:ilvl w:val="0"/>
                <w:numId w:val="2"/>
              </w:numPr>
              <w:rPr>
                <w:rFonts w:ascii="Liberation Sans" w:hAnsi="Liberation Sans"/>
                <w:sz w:val="20"/>
                <w:szCs w:val="20"/>
              </w:rPr>
            </w:pPr>
            <w:r>
              <w:rPr>
                <w:rFonts w:ascii="Liberation Sans" w:hAnsi="Liberation Sans"/>
                <w:sz w:val="20"/>
                <w:szCs w:val="20"/>
              </w:rPr>
              <w:t>SP100</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3.2E-09</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1.1E-01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9.7E-02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Synaptic functioning</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SP100</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1.3E-18</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4.4E-01</w:t>
            </w:r>
          </w:p>
        </w:tc>
        <w:tc>
          <w:tcPr>
            <w:tcW w:w="14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4.6E-01</w:t>
            </w:r>
          </w:p>
        </w:tc>
      </w:tr>
      <w:tr>
        <w:trPr>
          <w:trHeight w:val="300" w:hRule="atLeast"/>
        </w:trPr>
        <w:tc>
          <w:tcPr>
            <w:tcW w:w="12698" w:type="dxa"/>
            <w:gridSpan w:val="18"/>
            <w:tcBorders>
              <w:top w:val="single" w:sz="4" w:space="0" w:color="000000"/>
            </w:tcBorders>
            <w:vAlign w:val="bottom"/>
          </w:tcPr>
          <w:p>
            <w:pPr>
              <w:pStyle w:val="Normal"/>
              <w:widowControl w:val="false"/>
              <w:numPr>
                <w:ilvl w:val="0"/>
                <w:numId w:val="2"/>
              </w:numPr>
              <w:rPr>
                <w:rFonts w:ascii="Liberation Sans" w:hAnsi="Liberation Sans"/>
                <w:i/>
                <w:i/>
                <w:iCs/>
                <w:sz w:val="20"/>
                <w:szCs w:val="20"/>
              </w:rPr>
            </w:pPr>
            <w:r>
              <w:rPr>
                <w:rFonts w:ascii="Liberation Sans" w:hAnsi="Liberation Sans"/>
                <w:i/>
                <w:iCs/>
                <w:sz w:val="20"/>
                <w:szCs w:val="20"/>
              </w:rPr>
              <w:t>Adjusted for sex, age, ancestry and diagnosis</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Tau pathology/Degeneration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SP100</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1.9E-06</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5.8E-01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6.1E-01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Injury/Inflammation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DCHS2</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2.8E-11</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7.6E-01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Aβ Pathology</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SP100</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2.4E-79</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5.8E-01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6.1E-01</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Inflammation</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SP100</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2.1E-10</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6.9E-02</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6.2E-02</w:t>
            </w:r>
          </w:p>
        </w:tc>
      </w:tr>
      <w:tr>
        <w:trPr>
          <w:trHeight w:val="300" w:hRule="atLeast"/>
        </w:trPr>
        <w:tc>
          <w:tcPr>
            <w:tcW w:w="2711"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Non-AD Synaptic functioning</w:t>
            </w:r>
          </w:p>
        </w:tc>
        <w:tc>
          <w:tcPr>
            <w:tcW w:w="168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DCHS2</w:t>
            </w:r>
          </w:p>
        </w:tc>
        <w:tc>
          <w:tcPr>
            <w:tcW w:w="239"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6</w:t>
            </w:r>
          </w:p>
        </w:tc>
        <w:tc>
          <w:tcPr>
            <w:tcW w:w="5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7.8E-26</w:t>
            </w:r>
          </w:p>
        </w:tc>
        <w:tc>
          <w:tcPr>
            <w:tcW w:w="163"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w:t>
            </w:r>
          </w:p>
        </w:tc>
        <w:tc>
          <w:tcPr>
            <w:tcW w:w="534"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837"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3.7E-01</w:t>
            </w:r>
          </w:p>
        </w:tc>
        <w:tc>
          <w:tcPr>
            <w:tcW w:w="148" w:type="dxa"/>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5"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8</w:t>
            </w:r>
          </w:p>
        </w:tc>
        <w:tc>
          <w:tcPr>
            <w:tcW w:w="566"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503"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10</w:t>
            </w:r>
          </w:p>
        </w:tc>
        <w:tc>
          <w:tcPr>
            <w:tcW w:w="822" w:type="dxa"/>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2.9E-01</w:t>
            </w:r>
          </w:p>
        </w:tc>
      </w:tr>
      <w:tr>
        <w:trPr>
          <w:trHeight w:val="300" w:hRule="atLeast"/>
        </w:trPr>
        <w:tc>
          <w:tcPr>
            <w:tcW w:w="2711"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1688"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t>SP100</w:t>
            </w:r>
          </w:p>
        </w:tc>
        <w:tc>
          <w:tcPr>
            <w:tcW w:w="239"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7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127</w:t>
            </w:r>
          </w:p>
        </w:tc>
        <w:tc>
          <w:tcPr>
            <w:tcW w:w="591"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2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2</w:t>
            </w:r>
          </w:p>
        </w:tc>
        <w:tc>
          <w:tcPr>
            <w:tcW w:w="82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4.3E-18</w:t>
            </w:r>
          </w:p>
        </w:tc>
        <w:tc>
          <w:tcPr>
            <w:tcW w:w="163" w:type="dxa"/>
            <w:tcBorders>
              <w:bottom w:val="single" w:sz="4" w:space="0" w:color="000000"/>
            </w:tcBorders>
            <w:vAlign w:val="bottom"/>
          </w:tcPr>
          <w:p>
            <w:pPr>
              <w:pStyle w:val="Normal"/>
              <w:widowControl w:val="false"/>
              <w:numPr>
                <w:ilvl w:val="0"/>
                <w:numId w:val="2"/>
              </w:numPr>
              <w:rPr>
                <w:rFonts w:ascii="Liberation Sans" w:hAnsi="Liberation Sans"/>
                <w:sz w:val="20"/>
                <w:szCs w:val="20"/>
              </w:rPr>
            </w:pPr>
            <w:r>
              <w:rPr>
                <w:rFonts w:ascii="Liberation Sans" w:hAnsi="Liberation Sans"/>
                <w:sz w:val="20"/>
                <w:szCs w:val="20"/>
              </w:rPr>
            </w:r>
          </w:p>
        </w:tc>
        <w:tc>
          <w:tcPr>
            <w:tcW w:w="46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353</w:t>
            </w:r>
          </w:p>
        </w:tc>
        <w:tc>
          <w:tcPr>
            <w:tcW w:w="579"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34"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837"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3.1E-01</w:t>
            </w:r>
          </w:p>
        </w:tc>
        <w:tc>
          <w:tcPr>
            <w:tcW w:w="14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r>
          </w:p>
        </w:tc>
        <w:tc>
          <w:tcPr>
            <w:tcW w:w="465"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480</w:t>
            </w:r>
          </w:p>
        </w:tc>
        <w:tc>
          <w:tcPr>
            <w:tcW w:w="568"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w:t>
            </w:r>
          </w:p>
        </w:tc>
        <w:tc>
          <w:tcPr>
            <w:tcW w:w="566"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1</w:t>
            </w:r>
          </w:p>
        </w:tc>
        <w:tc>
          <w:tcPr>
            <w:tcW w:w="503"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5</w:t>
            </w:r>
          </w:p>
        </w:tc>
        <w:tc>
          <w:tcPr>
            <w:tcW w:w="822" w:type="dxa"/>
            <w:tcBorders>
              <w:bottom w:val="single" w:sz="4" w:space="0" w:color="000000"/>
            </w:tcBorders>
            <w:vAlign w:val="bottom"/>
          </w:tcPr>
          <w:p>
            <w:pPr>
              <w:pStyle w:val="Normal"/>
              <w:widowControl w:val="false"/>
              <w:numPr>
                <w:ilvl w:val="0"/>
                <w:numId w:val="2"/>
              </w:numPr>
              <w:jc w:val="right"/>
              <w:rPr>
                <w:rFonts w:ascii="Liberation Sans" w:hAnsi="Liberation Sans"/>
                <w:sz w:val="20"/>
                <w:szCs w:val="20"/>
              </w:rPr>
            </w:pPr>
            <w:r>
              <w:rPr>
                <w:rFonts w:ascii="Liberation Sans" w:hAnsi="Liberation Sans"/>
                <w:sz w:val="20"/>
                <w:szCs w:val="20"/>
              </w:rPr>
              <w:t>3.2E-01</w:t>
            </w:r>
          </w:p>
        </w:tc>
      </w:tr>
    </w:tbl>
    <w:p>
      <w:pPr>
        <w:pStyle w:val="Normal"/>
        <w:numPr>
          <w:ilvl w:val="0"/>
          <w:numId w:val="2"/>
        </w:numPr>
        <w:rPr/>
      </w:pPr>
      <w:r>
        <w:rPr>
          <w:rFonts w:ascii="Liberation Sans" w:hAnsi="Liberation Sans"/>
          <w:b/>
          <w:bCs/>
          <w:sz w:val="20"/>
          <w:szCs w:val="20"/>
        </w:rPr>
        <w:t xml:space="preserve">Table S6: </w:t>
      </w:r>
      <w:r>
        <w:rPr>
          <w:rFonts w:eastAsia="Noto Sans CJK SC" w:ascii="Liberation Sans" w:hAnsi="Liberation Sans"/>
          <w:b/>
          <w:bCs/>
        </w:rPr>
        <w:t>Genes with exome-wide significance in single cohort (Loss-of-function)</w:t>
      </w:r>
      <w:r>
        <w:rPr>
          <w:rFonts w:ascii="Liberation Sans" w:hAnsi="Liberation Sans"/>
          <w:b/>
          <w:bCs/>
          <w:sz w:val="20"/>
          <w:szCs w:val="20"/>
        </w:rPr>
        <w:t xml:space="preserve">. </w:t>
      </w:r>
      <w:r>
        <w:rPr>
          <w:rFonts w:ascii="Liberation Sans" w:hAnsi="Liberation Sans"/>
          <w:sz w:val="20"/>
          <w:szCs w:val="20"/>
        </w:rPr>
        <w:t>Results for exome-wide rare-variant and mediation analyses. Rare (MAF&lt;1%) loss-of-function variants in 270 genes were tested on a gene level in the protein-coding model. Each gene was associated with five principal component scores of CSF biomarkers, representing different neurodegenerative processes.  P-values (p) were obtained from gene-based SKAT-O tests. SMUT tested mediation on dementia symptoms (MMSE scores) via changes in the principal components. All tests were adjusted for sex, age and genetic ancestry (top group). In separate models, we additionally adjusted for diagnosis status (bottom group). Only genes with exome-wide significant association in one of the two studies, but not mega-analysis, are displayed (protein-coding:  p&lt;5.2*10</w:t>
      </w:r>
      <w:r>
        <w:rPr>
          <w:rFonts w:ascii="Liberation Sans" w:hAnsi="Liberation Sans"/>
          <w:sz w:val="20"/>
          <w:szCs w:val="20"/>
          <w:vertAlign w:val="superscript"/>
        </w:rPr>
        <w:t>-6</w:t>
      </w:r>
      <w:r>
        <w:rPr>
          <w:rFonts w:ascii="Liberation Sans" w:hAnsi="Liberation Sans"/>
          <w:sz w:val="20"/>
          <w:szCs w:val="20"/>
        </w:rPr>
        <w:t>; lof:  p&lt;1.9*10</w:t>
      </w:r>
      <w:r>
        <w:rPr>
          <w:rFonts w:ascii="Liberation Sans" w:hAnsi="Liberation Sans"/>
          <w:sz w:val="20"/>
          <w:szCs w:val="20"/>
          <w:vertAlign w:val="superscript"/>
        </w:rPr>
        <w:t>-4)</w:t>
      </w:r>
      <w:r>
        <w:rPr>
          <w:rFonts w:ascii="Liberation Sans" w:hAnsi="Liberation Sans"/>
          <w:sz w:val="20"/>
          <w:szCs w:val="20"/>
        </w:rPr>
        <w:t>).</w:t>
      </w:r>
    </w:p>
    <w:p>
      <w:pPr>
        <w:pStyle w:val="Normal"/>
        <w:numPr>
          <w:ilvl w:val="0"/>
          <w:numId w:val="2"/>
        </w:numPr>
        <w:rPr/>
      </w:pPr>
      <w:r>
        <w:rPr>
          <w:rFonts w:ascii="Liberation Sans" w:hAnsi="Liberation Sans"/>
          <w:b/>
          <w:bCs/>
          <w:sz w:val="20"/>
          <w:szCs w:val="20"/>
        </w:rPr>
        <w:t>n</w:t>
      </w:r>
      <w:r>
        <w:rPr>
          <w:rFonts w:ascii="Liberation Sans" w:hAnsi="Liberation Sans"/>
          <w:sz w:val="20"/>
          <w:szCs w:val="20"/>
        </w:rPr>
        <w:t xml:space="preserve"> Sample size </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snps</w:t>
      </w:r>
      <w:r>
        <w:rPr>
          <w:rFonts w:ascii="Liberation Sans" w:hAnsi="Liberation Sans"/>
          <w:sz w:val="20"/>
          <w:szCs w:val="20"/>
          <w:vertAlign w:val="subscript"/>
        </w:rPr>
        <w:t xml:space="preserve"> </w:t>
      </w:r>
      <w:r>
        <w:rPr>
          <w:rFonts w:ascii="Liberation Sans" w:hAnsi="Liberation Sans"/>
          <w:sz w:val="20"/>
          <w:szCs w:val="20"/>
        </w:rPr>
        <w:t>Number of variants included</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carriers</w:t>
      </w:r>
      <w:r>
        <w:rPr>
          <w:rFonts w:ascii="Liberation Sans" w:hAnsi="Liberation Sans"/>
          <w:sz w:val="20"/>
          <w:szCs w:val="20"/>
        </w:rPr>
        <w:t xml:space="preserve"> Number of participants with at least one rare variant in the gene</w:t>
      </w:r>
    </w:p>
    <w:p>
      <w:pPr>
        <w:pStyle w:val="Normal"/>
        <w:numPr>
          <w:ilvl w:val="0"/>
          <w:numId w:val="2"/>
        </w:numPr>
        <w:rPr/>
      </w:pPr>
      <w:r>
        <w:rPr>
          <w:rFonts w:ascii="Liberation Sans" w:hAnsi="Liberation Sans"/>
          <w:b/>
          <w:bCs/>
          <w:sz w:val="20"/>
          <w:szCs w:val="20"/>
        </w:rPr>
        <w:t>p</w:t>
      </w:r>
      <w:r>
        <w:rPr>
          <w:rFonts w:ascii="Liberation Sans" w:hAnsi="Liberation Sans"/>
          <w:sz w:val="20"/>
          <w:szCs w:val="20"/>
        </w:rPr>
        <w:t xml:space="preserve"> p-value of SKAT-O test.</w:t>
      </w:r>
    </w:p>
    <w:p>
      <w:pPr>
        <w:pStyle w:val="Normal"/>
        <w:numPr>
          <w:ilvl w:val="0"/>
          <w:numId w:val="2"/>
        </w:numPr>
        <w:rPr/>
      </w:pPr>
      <w:r>
        <w:rPr>
          <w:rFonts w:ascii="Liberation Sans" w:hAnsi="Liberation Sans"/>
          <w:b/>
          <w:bCs/>
          <w:sz w:val="20"/>
          <w:szCs w:val="20"/>
        </w:rPr>
        <w:t>n</w:t>
      </w:r>
      <w:r>
        <w:rPr>
          <w:rFonts w:ascii="Liberation Sans" w:hAnsi="Liberation Sans"/>
          <w:b/>
          <w:bCs/>
          <w:sz w:val="20"/>
          <w:szCs w:val="20"/>
          <w:vertAlign w:val="subscript"/>
        </w:rPr>
        <w:t xml:space="preserve">snp overlap </w:t>
      </w:r>
      <w:r>
        <w:rPr>
          <w:rFonts w:ascii="Liberation Sans" w:hAnsi="Liberation Sans"/>
          <w:sz w:val="20"/>
          <w:szCs w:val="20"/>
        </w:rPr>
        <w:t>Number of variants present in both ADNI and EMIF</w:t>
      </w:r>
      <w:r>
        <w:br w:type="page"/>
      </w:r>
    </w:p>
    <w:p>
      <w:pPr>
        <w:pStyle w:val="Heading1"/>
        <w:rPr/>
      </w:pPr>
      <w:r>
        <w:drawing>
          <wp:anchor behindDoc="0" distT="0" distB="0" distL="0" distR="0" simplePos="0" locked="0" layoutInCell="0" allowOverlap="1" relativeHeight="4">
            <wp:simplePos x="0" y="0"/>
            <wp:positionH relativeFrom="column">
              <wp:posOffset>3842385</wp:posOffset>
            </wp:positionH>
            <wp:positionV relativeFrom="paragraph">
              <wp:posOffset>635</wp:posOffset>
            </wp:positionV>
            <wp:extent cx="4139565" cy="5854065"/>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7"/>
                    <a:stretch>
                      <a:fillRect/>
                    </a:stretch>
                  </pic:blipFill>
                  <pic:spPr bwMode="auto">
                    <a:xfrm>
                      <a:off x="0" y="0"/>
                      <a:ext cx="4139565" cy="5854065"/>
                    </a:xfrm>
                    <a:prstGeom prst="rect">
                      <a:avLst/>
                    </a:prstGeom>
                  </pic:spPr>
                </pic:pic>
              </a:graphicData>
            </a:graphic>
          </wp:anchor>
        </w:drawing>
      </w:r>
      <w:r>
        <w:rPr/>
        <w:t>Supplementary Figures</w:t>
      </w:r>
    </w:p>
    <w:p>
      <w:pPr>
        <w:pStyle w:val="Heading1"/>
        <w:spacing w:lineRule="auto" w:line="480"/>
        <w:rPr/>
      </w:pPr>
      <w:r>
        <w:rPr>
          <w:sz w:val="24"/>
          <w:szCs w:val="24"/>
        </w:rPr>
        <w:t xml:space="preserve">Figure S1: Distribution of CSF biomarkers. </w:t>
      </w:r>
      <w:r>
        <w:rPr>
          <w:b w:val="false"/>
          <w:bCs w:val="false"/>
          <w:sz w:val="24"/>
          <w:szCs w:val="24"/>
        </w:rPr>
        <w:t>Density plots for tau, phosphorylated tau (pTau), neurofilament light chain (NfL), amyloid beta peptide 42 (Aβ), YKL-40 and Neurogranin (Ng) in CSF per diagnosis status (cognitively normal (blue), mild cognitive impairment (yellow), and Alzheimer’s disease (red)) after rank based inverse normal transformation.</w:t>
      </w:r>
    </w:p>
    <w:p>
      <w:pPr>
        <w:pStyle w:val="TextBody"/>
        <w:spacing w:lineRule="auto" w:line="480"/>
        <w:rPr>
          <w:rFonts w:ascii="Liberation Sans" w:hAnsi="Liberation Sans" w:eastAsia="Noto Sans CJK SC"/>
        </w:rPr>
      </w:pPr>
      <w:r>
        <w:rPr>
          <w:rFonts w:eastAsia="Noto Sans CJK SC" w:ascii="Liberation Sans" w:hAnsi="Liberation Sans"/>
        </w:rPr>
      </w:r>
      <w:r>
        <w:br w:type="page"/>
      </w:r>
    </w:p>
    <w:p>
      <w:pPr>
        <w:pStyle w:val="Heading1"/>
        <w:numPr>
          <w:ilvl w:val="0"/>
          <w:numId w:val="0"/>
        </w:numPr>
        <w:spacing w:lineRule="auto" w:line="480"/>
        <w:ind w:left="0" w:hanging="0"/>
        <w:rPr/>
      </w:pPr>
      <w:r>
        <w:drawing>
          <wp:anchor behindDoc="0" distT="0" distB="0" distL="0" distR="0" simplePos="0" locked="0" layoutInCell="0" allowOverlap="1" relativeHeight="5">
            <wp:simplePos x="0" y="0"/>
            <wp:positionH relativeFrom="column">
              <wp:posOffset>3842385</wp:posOffset>
            </wp:positionH>
            <wp:positionV relativeFrom="paragraph">
              <wp:posOffset>635</wp:posOffset>
            </wp:positionV>
            <wp:extent cx="4139565" cy="5854065"/>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8"/>
                    <a:stretch>
                      <a:fillRect/>
                    </a:stretch>
                  </pic:blipFill>
                  <pic:spPr bwMode="auto">
                    <a:xfrm>
                      <a:off x="0" y="0"/>
                      <a:ext cx="4139565" cy="5854065"/>
                    </a:xfrm>
                    <a:prstGeom prst="rect">
                      <a:avLst/>
                    </a:prstGeom>
                  </pic:spPr>
                </pic:pic>
              </a:graphicData>
            </a:graphic>
          </wp:anchor>
        </w:drawing>
      </w:r>
      <w:r>
        <w:rPr>
          <w:sz w:val="24"/>
          <w:szCs w:val="24"/>
        </w:rPr>
        <w:t xml:space="preserve">Figure S2: Distribution of CSF biomarker principal components. </w:t>
      </w:r>
      <w:r>
        <w:rPr>
          <w:b w:val="false"/>
          <w:bCs w:val="false"/>
          <w:sz w:val="24"/>
          <w:szCs w:val="24"/>
        </w:rPr>
        <w:t>Density plots for CSF biomarker principal component scores per diagnosis status (cognitively normal (blue), mild cognitive impairment (yellow), and Alzheimer’s disease (red)).</w:t>
      </w:r>
      <w:r>
        <w:br w:type="page"/>
      </w:r>
    </w:p>
    <w:p>
      <w:pPr>
        <w:pStyle w:val="TextBody"/>
        <w:numPr>
          <w:ilvl w:val="0"/>
          <w:numId w:val="2"/>
        </w:numPr>
        <w:spacing w:lineRule="auto" w:line="480"/>
        <w:rPr>
          <w:rFonts w:ascii="Liberation Sans" w:hAnsi="Liberation Sans"/>
          <w:b/>
          <w:b/>
          <w:bCs/>
        </w:rPr>
      </w:pPr>
      <w:r>
        <w:rPr>
          <w:rFonts w:ascii="Liberation Sans" w:hAnsi="Liberation Sans"/>
          <w:b/>
          <w:bCs/>
        </w:rPr>
        <w:t xml:space="preserve">Figure S3: QQ-plot of exome-wide rare variant analyses. </w:t>
      </w:r>
      <w:r>
        <w:rPr>
          <w:rFonts w:ascii="Liberation Sans" w:hAnsi="Liberation Sans"/>
        </w:rPr>
        <w:t>Colored points represent p-value distribution of the exome-wide rare variant (MAF &lt; 1%) analyses of the five CSF biomarker principal components obtained from gene-based SKAT-O tests (n=480). The diagonal line together with its 95% confidence interval (grey area) represents the expected p-value distribution assuming chance finding. First row represents results from protein-coding variants. The bottom row represents results from loss-of-function variants. All analyses were adjusted for sex, age and genetic ancestry. The right column was additionally adjusted for diagnosis.</w:t>
      </w:r>
    </w:p>
    <w:p>
      <w:pPr>
        <w:pStyle w:val="TextBody"/>
        <w:spacing w:lineRule="auto" w:line="480"/>
        <w:rPr>
          <w:rFonts w:ascii="Liberation Sans" w:hAnsi="Liberation Sans"/>
          <w:b/>
          <w:b/>
          <w:bCs/>
        </w:rPr>
      </w:pPr>
      <w:r>
        <w:rPr>
          <w:rFonts w:ascii="Liberation Sans" w:hAnsi="Liberation Sans"/>
          <w:b/>
          <w:bCs/>
        </w:rPr>
        <w:drawing>
          <wp:anchor behindDoc="0" distT="0" distB="0" distL="0" distR="0" simplePos="0" locked="0" layoutInCell="0" allowOverlap="1" relativeHeight="2">
            <wp:simplePos x="0" y="0"/>
            <wp:positionH relativeFrom="margin">
              <wp:align>center</wp:align>
            </wp:positionH>
            <wp:positionV relativeFrom="paragraph">
              <wp:posOffset>696595</wp:posOffset>
            </wp:positionV>
            <wp:extent cx="3275965" cy="286385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9"/>
                    <a:stretch>
                      <a:fillRect/>
                    </a:stretch>
                  </pic:blipFill>
                  <pic:spPr bwMode="auto">
                    <a:xfrm>
                      <a:off x="0" y="0"/>
                      <a:ext cx="3275965" cy="2863850"/>
                    </a:xfrm>
                    <a:prstGeom prst="rect">
                      <a:avLst/>
                    </a:prstGeom>
                  </pic:spPr>
                </pic:pic>
              </a:graphicData>
            </a:graphic>
          </wp:anchor>
        </w:drawing>
      </w:r>
      <w:r>
        <w:br w:type="page"/>
      </w:r>
    </w:p>
    <w:p>
      <w:pPr>
        <w:pStyle w:val="TextBody"/>
        <w:numPr>
          <w:ilvl w:val="0"/>
          <w:numId w:val="2"/>
        </w:numPr>
        <w:spacing w:lineRule="auto" w:line="480"/>
        <w:rPr>
          <w:rFonts w:ascii="Liberation Sans" w:hAnsi="Liberation Sans"/>
          <w:b/>
          <w:b/>
          <w:bCs/>
        </w:rPr>
      </w:pPr>
      <w:r>
        <w:rPr>
          <w:rFonts w:ascii="Liberation Sans" w:hAnsi="Liberation Sans"/>
          <w:b/>
          <w:bCs/>
        </w:rPr>
        <w:t xml:space="preserve">Figure S4: Manhattan plot of the exome-wide rare variant analyses (loss-of-function). </w:t>
      </w:r>
      <w:r>
        <w:rPr>
          <w:rFonts w:ascii="Liberation Sans" w:hAnsi="Liberation Sans"/>
        </w:rPr>
        <w:t>Results from the exome-wide rare variant (MAF &lt; 1%) analyses of five CSF biomarker principal components (PC) (n=480). Each plot displays a different PC as outcome. X-axis represents each gene (loss-of-function variants) and the y-axis the p-value obtained from gene-based SKAT-O tests on a -log</w:t>
      </w:r>
      <w:r>
        <w:rPr>
          <w:rFonts w:ascii="Liberation Sans" w:hAnsi="Liberation Sans"/>
          <w:vertAlign w:val="subscript"/>
        </w:rPr>
        <w:t>10</w:t>
      </w:r>
      <w:r>
        <w:rPr>
          <w:rFonts w:ascii="Liberation Sans" w:hAnsi="Liberation Sans"/>
        </w:rPr>
        <w:t xml:space="preserve"> scale. All analyses were adjusted for sex, age and genetic ancestry. Blue points represent p-values additionally adjusted for diagnosis. Red line indicates exome-wide significance threshold (p=1.9*10</w:t>
      </w:r>
      <w:r>
        <w:rPr>
          <w:rFonts w:ascii="Liberation Sans" w:hAnsi="Liberation Sans"/>
          <w:vertAlign w:val="superscript"/>
        </w:rPr>
        <w:t>-4</w:t>
      </w:r>
      <w:r>
        <w:rPr>
          <w:rFonts w:ascii="Liberation Sans" w:hAnsi="Liberation Sans"/>
        </w:rPr>
        <w:t>). Yellow line indicates suggestive threshold (p=3.7*10</w:t>
      </w:r>
      <w:r>
        <w:rPr>
          <w:rFonts w:ascii="Liberation Sans" w:hAnsi="Liberation Sans"/>
          <w:vertAlign w:val="superscript"/>
        </w:rPr>
        <w:t>-3</w:t>
      </w:r>
      <w:r>
        <w:rPr>
          <w:rFonts w:ascii="Liberation Sans" w:hAnsi="Liberation Sans"/>
        </w:rPr>
        <w:t>). Exome-wide significant genes are highlighted with a larger and red font.</w:t>
      </w:r>
    </w:p>
    <w:p>
      <w:pPr>
        <w:pStyle w:val="TextBody"/>
        <w:numPr>
          <w:ilvl w:val="0"/>
          <w:numId w:val="2"/>
        </w:numPr>
        <w:spacing w:lineRule="auto" w:line="480"/>
        <w:rPr>
          <w:rFonts w:ascii="Liberation Sans" w:hAnsi="Liberation Sans"/>
        </w:rPr>
      </w:pPr>
      <w:r>
        <w:rPr>
          <w:rFonts w:ascii="Liberation Sans" w:hAnsi="Liberation Sans"/>
        </w:rPr>
        <w:drawing>
          <wp:anchor behindDoc="0" distT="0" distB="0" distL="0" distR="0" simplePos="0" locked="0" layoutInCell="0" allowOverlap="1" relativeHeight="3">
            <wp:simplePos x="0" y="0"/>
            <wp:positionH relativeFrom="margin">
              <wp:align>center</wp:align>
            </wp:positionH>
            <wp:positionV relativeFrom="paragraph">
              <wp:posOffset>33655</wp:posOffset>
            </wp:positionV>
            <wp:extent cx="4229100" cy="317182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10"/>
                    <a:stretch>
                      <a:fillRect/>
                    </a:stretch>
                  </pic:blipFill>
                  <pic:spPr bwMode="auto">
                    <a:xfrm>
                      <a:off x="0" y="0"/>
                      <a:ext cx="4229100" cy="3171825"/>
                    </a:xfrm>
                    <a:prstGeom prst="rect">
                      <a:avLst/>
                    </a:prstGeom>
                  </pic:spPr>
                </pic:pic>
              </a:graphicData>
            </a:graphic>
          </wp:anchor>
        </w:drawing>
      </w:r>
    </w:p>
    <w:p>
      <w:pPr>
        <w:pStyle w:val="Normal"/>
        <w:rPr/>
      </w:pPr>
      <w:r>
        <w:rPr/>
      </w:r>
    </w:p>
    <w:sectPr>
      <w:headerReference w:type="default" r:id="rId11"/>
      <w:footerReference w:type="default" r:id="rId12"/>
      <w:type w:val="nextPage"/>
      <w:pgSz w:orient="landscape" w:w="16838" w:h="11906"/>
      <w:pgMar w:left="1134" w:right="1134" w:gutter="0" w:header="1134" w:top="1693" w:footer="1134" w:bottom="1693"/>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Liberation Mono">
    <w:altName w:val="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rFonts w:ascii="Liberation Sans" w:hAnsi="Liberation Sans"/>
      </w:rPr>
    </w:pPr>
    <w:r>
      <w:rPr>
        <w:rFonts w:ascii="Liberation Sans" w:hAnsi="Liberation Sans"/>
      </w:rPr>
      <w:fldChar w:fldCharType="begin"/>
    </w:r>
    <w:r>
      <w:rPr>
        <w:rFonts w:ascii="Liberation Sans" w:hAnsi="Liberation Sans"/>
      </w:rPr>
      <w:instrText> PAGE </w:instrText>
    </w:r>
    <w:r>
      <w:rPr>
        <w:rFonts w:ascii="Liberation Sans" w:hAnsi="Liberation Sans"/>
      </w:rPr>
      <w:fldChar w:fldCharType="separate"/>
    </w:r>
    <w:r>
      <w:rPr>
        <w:rFonts w:ascii="Liberation Sans" w:hAnsi="Liberation Sans"/>
      </w:rPr>
      <w:t>2</w:t>
    </w:r>
    <w:r>
      <w:rPr>
        <w:rFonts w:ascii="Liberation Sans" w:hAnsi="Liberation Sans"/>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rFonts w:ascii="Liberation Sans" w:hAnsi="Liberation Sans"/>
      </w:rPr>
    </w:pPr>
    <w:r>
      <w:rPr>
        <w:rFonts w:ascii="Liberation Sans" w:hAnsi="Liberation Sans"/>
      </w:rPr>
      <w:fldChar w:fldCharType="begin"/>
    </w:r>
    <w:r>
      <w:rPr>
        <w:rFonts w:ascii="Liberation Sans" w:hAnsi="Liberation Sans"/>
      </w:rPr>
      <w:instrText> PAGE </w:instrText>
    </w:r>
    <w:r>
      <w:rPr>
        <w:rFonts w:ascii="Liberation Sans" w:hAnsi="Liberation Sans"/>
      </w:rPr>
      <w:fldChar w:fldCharType="separate"/>
    </w:r>
    <w:r>
      <w:rPr>
        <w:rFonts w:ascii="Liberation Sans" w:hAnsi="Liberation Sans"/>
      </w:rPr>
      <w:t>8</w:t>
    </w:r>
    <w:r>
      <w:rPr>
        <w:rFonts w:ascii="Liberation Sans" w:hAnsi="Liberation Sans"/>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rFonts w:ascii="Liberation Sans" w:hAnsi="Liberation Sans"/>
      </w:rPr>
    </w:pPr>
    <w:r>
      <w:rPr>
        <w:rFonts w:ascii="Liberation Sans" w:hAnsi="Liberation Sans"/>
      </w:rPr>
      <w:fldChar w:fldCharType="begin"/>
    </w:r>
    <w:r>
      <w:rPr>
        <w:rFonts w:ascii="Liberation Sans" w:hAnsi="Liberation Sans"/>
      </w:rPr>
      <w:instrText> PAGE </w:instrText>
    </w:r>
    <w:r>
      <w:rPr>
        <w:rFonts w:ascii="Liberation Sans" w:hAnsi="Liberation Sans"/>
      </w:rPr>
      <w:fldChar w:fldCharType="separate"/>
    </w:r>
    <w:r>
      <w:rPr>
        <w:rFonts w:ascii="Liberation Sans" w:hAnsi="Liberation Sans"/>
      </w:rPr>
      <w:t>9</w:t>
    </w:r>
    <w:r>
      <w:rPr>
        <w:rFonts w:ascii="Liberation Sans" w:hAnsi="Liberation Sans"/>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rFonts w:ascii="Liberation Sans" w:hAnsi="Liberation Sans"/>
      </w:rPr>
      <w:t xml:space="preserve">Neumann et al., </w:t>
    </w:r>
    <w:r>
      <w:rPr>
        <w:rFonts w:eastAsia="Noto Sans CJK SC" w:cs="Times New Roman" w:ascii="Liberation Sans" w:hAnsi="Liberation Sans"/>
      </w:rPr>
      <w:t>Rare variants associate with AD CSF profile</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rFonts w:ascii="Liberation Sans" w:hAnsi="Liberation Sans"/>
      </w:rPr>
      <w:t xml:space="preserve">Neumann et al., </w:t>
    </w:r>
    <w:r>
      <w:rPr>
        <w:rFonts w:eastAsia="Noto Sans CJK SC" w:cs="Times New Roman" w:ascii="Liberation Sans" w:hAnsi="Liberation Sans"/>
      </w:rPr>
      <w:t>Rare variants associate with AD CSF profile</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rFonts w:ascii="Liberation Sans" w:hAnsi="Liberation Sans"/>
      </w:rPr>
      <w:t xml:space="preserve">Neumann et al., </w:t>
    </w:r>
    <w:r>
      <w:rPr>
        <w:rFonts w:eastAsia="Noto Sans CJK SC" w:cs="Times New Roman" w:ascii="Liberation Sans" w:hAnsi="Liberation Sans"/>
      </w:rPr>
      <w:t>Rare variants associate with AD CSF profile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US" w:eastAsia="zh-CN" w:bidi="hi-IN"/>
    </w:rPr>
  </w:style>
  <w:style w:type="paragraph" w:styleId="Heading1">
    <w:name w:val="Heading 1"/>
    <w:basedOn w:val="Heading"/>
    <w:next w:val="TextBody"/>
    <w:uiPriority w:val="9"/>
    <w:qFormat/>
    <w:pPr>
      <w:numPr>
        <w:ilvl w:val="0"/>
        <w:numId w:val="1"/>
      </w:numPr>
      <w:outlineLvl w:val="0"/>
    </w:pPr>
    <w:rPr>
      <w:b/>
      <w:bCs/>
      <w:sz w:val="36"/>
      <w:szCs w:val="36"/>
    </w:rPr>
  </w:style>
  <w:style w:type="paragraph" w:styleId="Heading2">
    <w:name w:val="Heading 2"/>
    <w:basedOn w:val="Heading"/>
    <w:next w:val="TextBody"/>
    <w:uiPriority w:val="9"/>
    <w:unhideWhenUsed/>
    <w:qFormat/>
    <w:pPr>
      <w:numPr>
        <w:ilvl w:val="1"/>
        <w:numId w:val="1"/>
      </w:numPr>
      <w:spacing w:before="200" w:after="120"/>
      <w:outlineLvl w:val="1"/>
    </w:pPr>
    <w:rPr>
      <w:b/>
      <w:bCs/>
      <w:sz w:val="32"/>
      <w:szCs w:val="32"/>
    </w:rPr>
  </w:style>
  <w:style w:type="character" w:styleId="DefaultParagraphFont" w:default="1">
    <w:name w:val="Default Paragraph Font"/>
    <w:uiPriority w:val="1"/>
    <w:semiHidden/>
    <w:unhideWhenUsed/>
    <w:qFormat/>
    <w:rPr/>
  </w:style>
  <w:style w:type="character" w:styleId="LineNumbering" w:customStyle="1">
    <w:name w:val="Line Numbering"/>
    <w:rPr/>
  </w:style>
  <w:style w:type="character" w:styleId="InternetLink">
    <w:name w:val="Hyperlink"/>
    <w:rPr>
      <w:color w:val="000080"/>
      <w:u w:val="single"/>
    </w:rPr>
  </w:style>
  <w:style w:type="character" w:styleId="VisitedInternetLink">
    <w:name w:val="FollowedHyperlink"/>
    <w:rPr>
      <w:color w:val="800000"/>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PreformattedText" w:customStyle="1">
    <w:name w:val="Preformatted Text"/>
    <w:basedOn w:val="Normal"/>
    <w:qFormat/>
    <w:pPr/>
    <w:rPr>
      <w:rFonts w:ascii="Liberation Mono" w:hAnsi="Liberation Mono" w:eastAsia="Noto Sans Mono CJK SC" w:cs="Liberation Mono"/>
      <w:sz w:val="20"/>
      <w:szCs w:val="20"/>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HeaderandFooter" w:customStyle="1">
    <w:name w:val="Header and Footer"/>
    <w:basedOn w:val="Normal"/>
    <w:qFormat/>
    <w:pPr>
      <w:suppressLineNumbers/>
      <w:tabs>
        <w:tab w:val="clear" w:pos="720"/>
        <w:tab w:val="center" w:pos="7283" w:leader="none"/>
        <w:tab w:val="right" w:pos="14566" w:leader="none"/>
      </w:tabs>
    </w:pPr>
    <w:rPr/>
  </w:style>
  <w:style w:type="paragraph" w:styleId="Header">
    <w:name w:val="Header"/>
    <w:basedOn w:val="HeaderandFooter"/>
    <w:pPr/>
    <w:rPr/>
  </w:style>
  <w:style w:type="paragraph" w:styleId="Footer">
    <w:name w:val="Footer"/>
    <w:basedOn w:val="HeaderandFooter"/>
    <w:pPr/>
    <w:rPr/>
  </w:style>
  <w:style w:type="paragraph" w:styleId="Title">
    <w:name w:val="Title"/>
    <w:basedOn w:val="Heading"/>
    <w:next w:val="TextBody"/>
    <w:uiPriority w:val="10"/>
    <w:qFormat/>
    <w:pPr>
      <w:jc w:val="center"/>
    </w:pPr>
    <w:rPr>
      <w:b/>
      <w:bCs/>
      <w:sz w:val="56"/>
      <w:szCs w:val="56"/>
    </w:rPr>
  </w:style>
  <w:style w:type="paragraph" w:styleId="Subtitle">
    <w:name w:val="Subtitle"/>
    <w:basedOn w:val="Heading"/>
    <w:next w:val="TextBody"/>
    <w:uiPriority w:val="11"/>
    <w:qFormat/>
    <w:pPr>
      <w:spacing w:before="60" w:after="120"/>
      <w:jc w:val="center"/>
    </w:pPr>
    <w:rPr>
      <w:sz w:val="36"/>
      <w:szCs w:val="36"/>
    </w:rPr>
  </w:style>
  <w:style w:type="paragraph" w:styleId="Standard" w:customStyle="1">
    <w:name w:val="Standard"/>
    <w:qFormat/>
    <w:pPr>
      <w:widowControl/>
      <w:suppressAutoHyphens w:val="true"/>
      <w:bidi w:val="0"/>
      <w:spacing w:before="0" w:after="0"/>
      <w:jc w:val="left"/>
      <w:textAlignment w:val="baseline"/>
    </w:pPr>
    <w:rPr>
      <w:rFonts w:ascii="Liberation Serif;Times New Roma" w:hAnsi="Liberation Serif;Times New Roma" w:eastAsia="Noto Sans CJK SC Regular" w:cs="FreeSans;Times New Roman"/>
      <w:color w:val="auto"/>
      <w:kern w:val="2"/>
      <w:sz w:val="24"/>
      <w:szCs w:val="24"/>
      <w:lang w:val="en-US" w:eastAsia="zh-CN" w:bidi="hi-IN"/>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lexander.neumann@uantwerpen.vib.be"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1334</TotalTime>
  <Application>LibreOffice/7.2.2.2$Linux_X86_64 LibreOffice_project/20$Build-2</Application>
  <AppVersion>15.0000</AppVersion>
  <Pages>22</Pages>
  <Words>4017</Words>
  <Characters>20168</Characters>
  <CharactersWithSpaces>22690</CharactersWithSpaces>
  <Paragraphs>1562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2021-02-02T12:32:00Z</dcterms:created>
  <dc:creator>Alexander Neumann</dc:creator>
  <dc:description/>
  <dc:language>en-US</dc:language>
  <cp:lastModifiedBy>Alexander Neumann</cp:lastModifiedBy>
  <dcterms:modified xsi:type="dcterms:W3CDTF">2021-11-18T10:46:53Z</dcterms:modified>
  <cp:revision>70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http://www.zotero.org/styles/molecular-psychiatry</vt:lpwstr>
  </property>
  <property fmtid="{D5CDD505-2E9C-101B-9397-08002B2CF9AE}" pid="3" name="Mendeley Document_1">
    <vt:lpwstr>True</vt:lpwstr>
  </property>
  <property fmtid="{D5CDD505-2E9C-101B-9397-08002B2CF9AE}" pid="4" name="Mendeley Unique User Id_1">
    <vt:lpwstr>7762a66e-8cf9-3295-b26d-6c41d2537373</vt:lpwstr>
  </property>
</Properties>
</file>